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768"/>
        <w:rPr>
          <w:rFonts w:hint="eastAsia" w:ascii="宋体" w:hAnsi="宋体" w:eastAsia="宋体" w:cs="宋体"/>
          <w:b/>
          <w:color w:val="auto"/>
          <w:sz w:val="44"/>
          <w:highlight w:val="none"/>
        </w:rPr>
      </w:pPr>
      <w:bookmarkStart w:id="0" w:name="_Toc154322837"/>
    </w:p>
    <w:p>
      <w:pPr>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2021年罗定市农产品质量安全监督检测站</w:t>
      </w:r>
    </w:p>
    <w:p>
      <w:pPr>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仪器设备采购项目</w:t>
      </w:r>
    </w:p>
    <w:p>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w:t>
      </w:r>
      <w:r>
        <w:rPr>
          <w:rFonts w:hint="eastAsia" w:ascii="宋体" w:hAnsi="宋体" w:cs="宋体"/>
          <w:b/>
          <w:bCs/>
          <w:color w:val="auto"/>
          <w:sz w:val="48"/>
          <w:szCs w:val="48"/>
          <w:highlight w:val="none"/>
          <w:lang w:eastAsia="zh-CN"/>
        </w:rPr>
        <w:t>SZZB21H04YQ068</w:t>
      </w:r>
      <w:r>
        <w:rPr>
          <w:rFonts w:hint="eastAsia" w:ascii="宋体" w:hAnsi="宋体" w:eastAsia="宋体" w:cs="宋体"/>
          <w:b/>
          <w:bCs/>
          <w:color w:val="auto"/>
          <w:sz w:val="48"/>
          <w:szCs w:val="48"/>
          <w:highlight w:val="none"/>
        </w:rPr>
        <w:t>）</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b/>
          <w:color w:val="auto"/>
          <w:sz w:val="84"/>
          <w:szCs w:val="84"/>
          <w:highlight w:val="none"/>
        </w:rPr>
      </w:pPr>
      <w:r>
        <w:rPr>
          <w:rFonts w:hint="eastAsia" w:ascii="宋体" w:hAnsi="宋体" w:cs="宋体"/>
          <w:b/>
          <w:color w:val="auto"/>
          <w:sz w:val="84"/>
          <w:szCs w:val="84"/>
          <w:highlight w:val="none"/>
          <w:lang w:eastAsia="zh-CN"/>
        </w:rPr>
        <w:t>邀</w:t>
      </w:r>
      <w:r>
        <w:rPr>
          <w:rFonts w:hint="eastAsia" w:ascii="宋体" w:hAnsi="宋体" w:eastAsia="宋体" w:cs="宋体"/>
          <w:b/>
          <w:color w:val="auto"/>
          <w:sz w:val="84"/>
          <w:szCs w:val="84"/>
          <w:highlight w:val="none"/>
        </w:rPr>
        <w:t xml:space="preserve"> 标 文 件</w:t>
      </w:r>
    </w:p>
    <w:p>
      <w:pPr>
        <w:spacing w:line="360" w:lineRule="auto"/>
        <w:jc w:val="center"/>
        <w:rPr>
          <w:rFonts w:hint="eastAsia" w:ascii="宋体" w:hAnsi="宋体" w:eastAsia="宋体" w:cs="宋体"/>
          <w:color w:val="auto"/>
          <w:sz w:val="32"/>
          <w:highlight w:val="none"/>
        </w:rPr>
      </w:pPr>
    </w:p>
    <w:p>
      <w:pPr>
        <w:spacing w:line="360" w:lineRule="auto"/>
        <w:rPr>
          <w:rFonts w:hint="eastAsia" w:ascii="宋体" w:hAnsi="宋体" w:eastAsia="宋体" w:cs="宋体"/>
          <w:color w:val="auto"/>
          <w:sz w:val="32"/>
          <w:highlight w:val="none"/>
        </w:rPr>
      </w:pPr>
    </w:p>
    <w:p>
      <w:pPr>
        <w:spacing w:line="360" w:lineRule="auto"/>
        <w:rPr>
          <w:rFonts w:hint="eastAsia" w:ascii="宋体" w:hAnsi="宋体" w:eastAsia="宋体" w:cs="宋体"/>
          <w:color w:val="auto"/>
          <w:sz w:val="32"/>
          <w:highlight w:val="none"/>
        </w:rPr>
      </w:pPr>
    </w:p>
    <w:p>
      <w:pPr>
        <w:spacing w:line="360" w:lineRule="auto"/>
        <w:rPr>
          <w:rFonts w:hint="eastAsia" w:ascii="宋体" w:hAnsi="宋体" w:eastAsia="宋体" w:cs="宋体"/>
          <w:color w:val="auto"/>
          <w:sz w:val="32"/>
          <w:highlight w:val="none"/>
        </w:rPr>
      </w:pPr>
    </w:p>
    <w:p>
      <w:pPr>
        <w:ind w:firstLine="283" w:firstLineChars="53"/>
        <w:rPr>
          <w:rFonts w:hint="eastAsia" w:ascii="宋体" w:hAnsi="宋体" w:eastAsia="宋体" w:cs="宋体"/>
          <w:b/>
          <w:color w:val="auto"/>
          <w:spacing w:val="106"/>
          <w:sz w:val="32"/>
          <w:highlight w:val="none"/>
        </w:rPr>
      </w:pPr>
    </w:p>
    <w:p>
      <w:pPr>
        <w:ind w:firstLine="283" w:firstLineChars="53"/>
        <w:jc w:val="left"/>
        <w:rPr>
          <w:rFonts w:hint="eastAsia" w:ascii="宋体" w:hAnsi="宋体" w:eastAsia="宋体" w:cs="宋体"/>
          <w:b/>
          <w:bCs w:val="0"/>
          <w:color w:val="auto"/>
          <w:sz w:val="32"/>
          <w:highlight w:val="none"/>
          <w:u w:val="single"/>
          <w:lang w:val="en-US" w:eastAsia="zh-CN"/>
        </w:rPr>
      </w:pPr>
      <w:r>
        <w:rPr>
          <w:rFonts w:hint="eastAsia" w:ascii="宋体" w:hAnsi="宋体" w:eastAsia="宋体" w:cs="宋体"/>
          <w:b/>
          <w:color w:val="auto"/>
          <w:spacing w:val="106"/>
          <w:sz w:val="32"/>
          <w:highlight w:val="none"/>
        </w:rPr>
        <w:t>采购单</w:t>
      </w:r>
      <w:r>
        <w:rPr>
          <w:rFonts w:hint="eastAsia" w:ascii="宋体" w:hAnsi="宋体" w:eastAsia="宋体" w:cs="宋体"/>
          <w:b/>
          <w:color w:val="auto"/>
          <w:sz w:val="32"/>
          <w:highlight w:val="none"/>
        </w:rPr>
        <w:t>位：</w:t>
      </w:r>
      <w:r>
        <w:rPr>
          <w:rFonts w:hint="eastAsia" w:ascii="宋体" w:hAnsi="宋体" w:cs="宋体"/>
          <w:b/>
          <w:bCs w:val="0"/>
          <w:color w:val="auto"/>
          <w:sz w:val="32"/>
          <w:highlight w:val="none"/>
          <w:u w:val="single"/>
          <w:lang w:eastAsia="zh-CN"/>
        </w:rPr>
        <w:t>罗定市农业农村局</w:t>
      </w:r>
    </w:p>
    <w:p>
      <w:pPr>
        <w:ind w:firstLine="1263" w:firstLineChars="393"/>
        <w:jc w:val="left"/>
        <w:rPr>
          <w:rFonts w:hint="eastAsia" w:ascii="宋体" w:hAnsi="宋体" w:eastAsia="宋体" w:cs="宋体"/>
          <w:b/>
          <w:color w:val="auto"/>
          <w:sz w:val="32"/>
          <w:highlight w:val="none"/>
        </w:rPr>
      </w:pPr>
    </w:p>
    <w:p>
      <w:pPr>
        <w:ind w:firstLine="283" w:firstLineChars="88"/>
        <w:jc w:val="left"/>
        <w:rPr>
          <w:rFonts w:hint="eastAsia" w:ascii="宋体" w:hAnsi="宋体" w:eastAsia="宋体" w:cs="宋体"/>
          <w:b/>
          <w:color w:val="auto"/>
          <w:sz w:val="32"/>
          <w:highlight w:val="none"/>
          <w:u w:val="single"/>
          <w:lang w:eastAsia="zh-CN"/>
        </w:rPr>
      </w:pPr>
      <w:r>
        <w:rPr>
          <w:rFonts w:hint="eastAsia" w:ascii="宋体" w:hAnsi="宋体" w:eastAsia="宋体" w:cs="宋体"/>
          <w:b/>
          <w:color w:val="auto"/>
          <w:sz w:val="32"/>
          <w:highlight w:val="none"/>
        </w:rPr>
        <w:t xml:space="preserve">招标代理机构: </w:t>
      </w:r>
      <w:r>
        <w:rPr>
          <w:rFonts w:hint="eastAsia" w:ascii="宋体" w:hAnsi="宋体" w:cs="宋体"/>
          <w:b/>
          <w:bCs w:val="0"/>
          <w:color w:val="auto"/>
          <w:sz w:val="32"/>
          <w:highlight w:val="none"/>
          <w:u w:val="single"/>
          <w:lang w:eastAsia="zh-CN"/>
        </w:rPr>
        <w:t>罗定市泷洲招标代理有限公司</w:t>
      </w:r>
    </w:p>
    <w:p>
      <w:pPr>
        <w:ind w:firstLine="126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pStyle w:val="16"/>
        <w:jc w:val="center"/>
        <w:rPr>
          <w:rFonts w:hint="eastAsia" w:ascii="宋体" w:hAnsi="宋体" w:eastAsia="宋体" w:cs="宋体"/>
          <w:color w:val="auto"/>
          <w:highlight w:val="none"/>
        </w:rPr>
      </w:pPr>
      <w:r>
        <w:rPr>
          <w:rFonts w:hint="eastAsia" w:ascii="宋体" w:hAnsi="宋体" w:eastAsia="宋体" w:cs="宋体"/>
          <w:b/>
          <w:color w:val="auto"/>
          <w:sz w:val="32"/>
          <w:highlight w:val="none"/>
        </w:rPr>
        <w:t>20</w:t>
      </w:r>
      <w:r>
        <w:rPr>
          <w:rFonts w:hint="eastAsia" w:hAnsi="宋体" w:cs="宋体"/>
          <w:b/>
          <w:color w:val="auto"/>
          <w:sz w:val="32"/>
          <w:highlight w:val="none"/>
          <w:lang w:val="en-US" w:eastAsia="zh-CN"/>
        </w:rPr>
        <w:t>21</w:t>
      </w:r>
      <w:r>
        <w:rPr>
          <w:rFonts w:hint="eastAsia" w:ascii="宋体" w:hAnsi="宋体" w:eastAsia="宋体" w:cs="宋体"/>
          <w:b/>
          <w:color w:val="auto"/>
          <w:sz w:val="32"/>
          <w:highlight w:val="none"/>
        </w:rPr>
        <w:t>年</w:t>
      </w:r>
      <w:r>
        <w:rPr>
          <w:rFonts w:hint="eastAsia" w:hAnsi="宋体" w:cs="宋体"/>
          <w:b/>
          <w:color w:val="auto"/>
          <w:sz w:val="32"/>
          <w:highlight w:val="none"/>
          <w:lang w:val="en-US" w:eastAsia="zh-CN"/>
        </w:rPr>
        <w:t>10</w:t>
      </w:r>
      <w:r>
        <w:rPr>
          <w:rFonts w:hint="eastAsia" w:ascii="宋体" w:hAnsi="宋体" w:eastAsia="宋体" w:cs="宋体"/>
          <w:b/>
          <w:color w:val="auto"/>
          <w:sz w:val="32"/>
          <w:highlight w:val="none"/>
        </w:rPr>
        <w:t>月</w:t>
      </w:r>
    </w:p>
    <w:p>
      <w:pPr>
        <w:pStyle w:val="16"/>
        <w:rPr>
          <w:rFonts w:hint="eastAsia" w:ascii="宋体" w:hAnsi="宋体" w:eastAsia="宋体" w:cs="宋体"/>
          <w:color w:val="auto"/>
          <w:highlight w:val="none"/>
        </w:rPr>
      </w:pPr>
    </w:p>
    <w:p>
      <w:pPr>
        <w:pStyle w:val="16"/>
        <w:jc w:val="center"/>
        <w:rPr>
          <w:rFonts w:hint="eastAsia" w:ascii="宋体" w:hAnsi="宋体" w:eastAsia="宋体" w:cs="宋体"/>
          <w:b/>
          <w:color w:val="auto"/>
          <w:sz w:val="32"/>
          <w:szCs w:val="32"/>
          <w:highlight w:val="none"/>
        </w:rPr>
      </w:pPr>
    </w:p>
    <w:p>
      <w:pPr>
        <w:pStyle w:val="16"/>
        <w:jc w:val="center"/>
        <w:rPr>
          <w:rFonts w:hint="eastAsia" w:ascii="宋体" w:hAnsi="宋体" w:eastAsia="宋体" w:cs="宋体"/>
          <w:b/>
          <w:color w:val="auto"/>
          <w:sz w:val="48"/>
          <w:szCs w:val="48"/>
          <w:highlight w:val="none"/>
        </w:rPr>
        <w:sectPr>
          <w:headerReference r:id="rId3" w:type="default"/>
          <w:footerReference r:id="rId5" w:type="default"/>
          <w:headerReference r:id="rId4" w:type="even"/>
          <w:footerReference r:id="rId6" w:type="even"/>
          <w:type w:val="continuous"/>
          <w:pgSz w:w="11906" w:h="16838"/>
          <w:pgMar w:top="1134" w:right="1134" w:bottom="1134" w:left="1418" w:header="709" w:footer="737" w:gutter="0"/>
          <w:cols w:space="720" w:num="1"/>
          <w:titlePg/>
          <w:docGrid w:type="lines" w:linePitch="312" w:charSpace="0"/>
        </w:sectPr>
      </w:pPr>
    </w:p>
    <w:p>
      <w:pPr>
        <w:pStyle w:val="16"/>
        <w:jc w:val="center"/>
        <w:rPr>
          <w:rFonts w:hint="eastAsia" w:ascii="宋体" w:hAnsi="宋体" w:eastAsia="宋体" w:cs="宋体"/>
          <w:b/>
          <w:color w:val="auto"/>
          <w:sz w:val="48"/>
          <w:szCs w:val="48"/>
          <w:highlight w:val="none"/>
        </w:rPr>
      </w:pPr>
    </w:p>
    <w:p>
      <w:pPr>
        <w:pStyle w:val="16"/>
        <w:jc w:val="center"/>
        <w:rPr>
          <w:rFonts w:hint="eastAsia" w:ascii="宋体" w:hAnsi="宋体" w:eastAsia="宋体" w:cs="宋体"/>
          <w:b/>
          <w:color w:val="auto"/>
          <w:sz w:val="48"/>
          <w:szCs w:val="48"/>
          <w:highlight w:val="none"/>
        </w:rPr>
      </w:pPr>
    </w:p>
    <w:p>
      <w:pPr>
        <w:pStyle w:val="16"/>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End w:id="0"/>
    </w:p>
    <w:p>
      <w:pPr>
        <w:pStyle w:val="16"/>
        <w:jc w:val="center"/>
        <w:rPr>
          <w:rFonts w:hint="eastAsia" w:ascii="宋体" w:hAnsi="宋体" w:eastAsia="宋体" w:cs="宋体"/>
          <w:b/>
          <w:color w:val="auto"/>
          <w:sz w:val="32"/>
          <w:szCs w:val="32"/>
          <w:highlight w:val="none"/>
        </w:rPr>
      </w:pPr>
    </w:p>
    <w:p>
      <w:pPr>
        <w:pStyle w:val="25"/>
        <w:spacing w:line="600" w:lineRule="exact"/>
        <w:ind w:left="198"/>
        <w:rPr>
          <w:rStyle w:val="38"/>
          <w:rFonts w:hint="eastAsia" w:ascii="宋体" w:hAnsi="宋体" w:eastAsia="宋体" w:cs="宋体"/>
          <w:b w:val="0"/>
          <w:color w:val="auto"/>
          <w:sz w:val="32"/>
          <w:szCs w:val="32"/>
          <w:highlight w:val="none"/>
          <w:u w:val="none"/>
          <w:lang w:eastAsia="zh-CN"/>
        </w:rPr>
      </w:pPr>
      <w:r>
        <w:rPr>
          <w:rStyle w:val="38"/>
          <w:rFonts w:hint="eastAsia" w:ascii="宋体" w:hAnsi="宋体" w:eastAsia="宋体" w:cs="宋体"/>
          <w:b w:val="0"/>
          <w:color w:val="auto"/>
          <w:sz w:val="32"/>
          <w:szCs w:val="32"/>
          <w:highlight w:val="none"/>
          <w:u w:val="none"/>
        </w:rPr>
        <w:t>第一章 投标须知及投标须知前附表</w:t>
      </w:r>
      <w:r>
        <w:rPr>
          <w:rStyle w:val="38"/>
          <w:rFonts w:hint="eastAsia" w:ascii="宋体" w:hAnsi="宋体" w:eastAsia="宋体" w:cs="宋体"/>
          <w:b w:val="0"/>
          <w:color w:val="auto"/>
          <w:sz w:val="32"/>
          <w:szCs w:val="32"/>
          <w:highlight w:val="none"/>
          <w:u w:val="none"/>
        </w:rPr>
        <w:tab/>
      </w:r>
      <w:r>
        <w:rPr>
          <w:rStyle w:val="38"/>
          <w:rFonts w:hint="eastAsia" w:cs="宋体"/>
          <w:b w:val="0"/>
          <w:color w:val="auto"/>
          <w:sz w:val="32"/>
          <w:szCs w:val="32"/>
          <w:highlight w:val="none"/>
          <w:u w:val="none"/>
          <w:lang w:val="en-US" w:eastAsia="zh-CN"/>
        </w:rPr>
        <w:t>2</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5"/>
        <w:spacing w:line="600" w:lineRule="exact"/>
        <w:ind w:left="198"/>
        <w:rPr>
          <w:rStyle w:val="38"/>
          <w:rFonts w:hint="eastAsia" w:ascii="宋体" w:hAnsi="宋体" w:eastAsia="宋体" w:cs="宋体"/>
          <w:b w:val="0"/>
          <w:color w:val="auto"/>
          <w:sz w:val="32"/>
          <w:szCs w:val="32"/>
          <w:highlight w:val="none"/>
          <w:u w:val="none"/>
          <w:lang w:eastAsia="zh-CN"/>
        </w:rPr>
      </w:pPr>
      <w:r>
        <w:rPr>
          <w:rStyle w:val="38"/>
          <w:rFonts w:hint="eastAsia" w:ascii="宋体" w:hAnsi="宋体" w:eastAsia="宋体" w:cs="宋体"/>
          <w:b w:val="0"/>
          <w:color w:val="auto"/>
          <w:sz w:val="32"/>
          <w:szCs w:val="32"/>
          <w:highlight w:val="none"/>
          <w:u w:val="none"/>
        </w:rPr>
        <w:t>第二章  合同范本</w:t>
      </w:r>
      <w:r>
        <w:rPr>
          <w:rStyle w:val="38"/>
          <w:rFonts w:hint="eastAsia" w:ascii="宋体" w:hAnsi="宋体" w:eastAsia="宋体" w:cs="宋体"/>
          <w:b w:val="0"/>
          <w:color w:val="auto"/>
          <w:sz w:val="32"/>
          <w:szCs w:val="32"/>
          <w:highlight w:val="none"/>
          <w:u w:val="none"/>
        </w:rPr>
        <w:tab/>
      </w:r>
      <w:r>
        <w:rPr>
          <w:rStyle w:val="38"/>
          <w:rFonts w:hint="eastAsia" w:ascii="宋体" w:hAnsi="宋体" w:eastAsia="宋体" w:cs="宋体"/>
          <w:b w:val="0"/>
          <w:color w:val="auto"/>
          <w:sz w:val="32"/>
          <w:szCs w:val="32"/>
          <w:highlight w:val="none"/>
          <w:u w:val="none"/>
        </w:rPr>
        <w:t>1</w:t>
      </w:r>
      <w:r>
        <w:rPr>
          <w:rStyle w:val="38"/>
          <w:rFonts w:hint="eastAsia" w:cs="宋体"/>
          <w:b w:val="0"/>
          <w:color w:val="auto"/>
          <w:sz w:val="32"/>
          <w:szCs w:val="32"/>
          <w:highlight w:val="none"/>
          <w:u w:val="none"/>
          <w:lang w:val="en-US" w:eastAsia="zh-CN"/>
        </w:rPr>
        <w:t>4</w:t>
      </w:r>
    </w:p>
    <w:p>
      <w:pPr>
        <w:rPr>
          <w:rFonts w:hint="eastAsia" w:ascii="宋体" w:hAnsi="宋体" w:eastAsia="宋体" w:cs="宋体"/>
          <w:color w:val="auto"/>
          <w:highlight w:val="none"/>
        </w:rPr>
      </w:pPr>
    </w:p>
    <w:p>
      <w:pPr>
        <w:pStyle w:val="25"/>
        <w:spacing w:line="600" w:lineRule="exact"/>
        <w:ind w:left="198"/>
        <w:rPr>
          <w:rStyle w:val="38"/>
          <w:rFonts w:hint="eastAsia" w:ascii="宋体" w:hAnsi="宋体" w:eastAsia="宋体" w:cs="宋体"/>
          <w:b w:val="0"/>
          <w:color w:val="auto"/>
          <w:sz w:val="32"/>
          <w:szCs w:val="32"/>
          <w:highlight w:val="none"/>
          <w:u w:val="none"/>
          <w:lang w:eastAsia="zh-CN"/>
        </w:rPr>
      </w:pPr>
      <w:r>
        <w:rPr>
          <w:rStyle w:val="38"/>
          <w:rFonts w:hint="eastAsia" w:ascii="宋体" w:hAnsi="宋体" w:eastAsia="宋体" w:cs="宋体"/>
          <w:b w:val="0"/>
          <w:color w:val="auto"/>
          <w:sz w:val="32"/>
          <w:szCs w:val="32"/>
          <w:highlight w:val="none"/>
          <w:u w:val="none"/>
        </w:rPr>
        <w:t>第三章  用户需求</w:t>
      </w:r>
      <w:r>
        <w:rPr>
          <w:rStyle w:val="38"/>
          <w:rFonts w:hint="eastAsia" w:ascii="宋体" w:hAnsi="宋体" w:eastAsia="宋体" w:cs="宋体"/>
          <w:b w:val="0"/>
          <w:color w:val="auto"/>
          <w:sz w:val="32"/>
          <w:szCs w:val="32"/>
          <w:highlight w:val="none"/>
          <w:u w:val="none"/>
        </w:rPr>
        <w:tab/>
      </w:r>
      <w:r>
        <w:rPr>
          <w:rStyle w:val="38"/>
          <w:rFonts w:hint="eastAsia" w:ascii="宋体" w:hAnsi="宋体" w:eastAsia="宋体" w:cs="宋体"/>
          <w:b w:val="0"/>
          <w:color w:val="auto"/>
          <w:sz w:val="32"/>
          <w:szCs w:val="32"/>
          <w:highlight w:val="none"/>
          <w:u w:val="none"/>
        </w:rPr>
        <w:t>2</w:t>
      </w:r>
      <w:r>
        <w:rPr>
          <w:rStyle w:val="38"/>
          <w:rFonts w:hint="eastAsia" w:cs="宋体"/>
          <w:b w:val="0"/>
          <w:color w:val="auto"/>
          <w:sz w:val="32"/>
          <w:szCs w:val="32"/>
          <w:highlight w:val="none"/>
          <w:u w:val="none"/>
          <w:lang w:val="en-US" w:eastAsia="zh-CN"/>
        </w:rPr>
        <w:t>2</w:t>
      </w:r>
    </w:p>
    <w:p>
      <w:pPr>
        <w:rPr>
          <w:rFonts w:hint="eastAsia" w:ascii="宋体" w:hAnsi="宋体" w:eastAsia="宋体" w:cs="宋体"/>
          <w:color w:val="auto"/>
          <w:highlight w:val="none"/>
        </w:rPr>
      </w:pPr>
    </w:p>
    <w:p>
      <w:pPr>
        <w:pStyle w:val="25"/>
        <w:spacing w:line="600" w:lineRule="exact"/>
        <w:ind w:left="198"/>
        <w:jc w:val="left"/>
        <w:rPr>
          <w:rStyle w:val="38"/>
          <w:rFonts w:hint="eastAsia" w:ascii="宋体" w:hAnsi="宋体" w:eastAsia="宋体" w:cs="宋体"/>
          <w:b w:val="0"/>
          <w:color w:val="auto"/>
          <w:szCs w:val="21"/>
          <w:highlight w:val="none"/>
          <w:u w:val="none"/>
          <w:lang w:val="en-US" w:eastAsia="zh-CN"/>
        </w:rPr>
      </w:pPr>
      <w:r>
        <w:rPr>
          <w:rStyle w:val="38"/>
          <w:rFonts w:hint="eastAsia" w:ascii="宋体" w:hAnsi="宋体" w:eastAsia="宋体" w:cs="宋体"/>
          <w:b w:val="0"/>
          <w:color w:val="auto"/>
          <w:sz w:val="32"/>
          <w:szCs w:val="32"/>
          <w:highlight w:val="none"/>
          <w:u w:val="none"/>
        </w:rPr>
        <w:t>第四章  投标文件部分格式要求</w:t>
      </w:r>
      <w:r>
        <w:rPr>
          <w:rStyle w:val="38"/>
          <w:rFonts w:hint="eastAsia" w:ascii="宋体" w:hAnsi="宋体" w:eastAsia="宋体" w:cs="宋体"/>
          <w:b w:val="0"/>
          <w:color w:val="auto"/>
          <w:sz w:val="32"/>
          <w:szCs w:val="32"/>
          <w:highlight w:val="none"/>
          <w:u w:val="none"/>
        </w:rPr>
        <w:tab/>
      </w:r>
      <w:r>
        <w:rPr>
          <w:rStyle w:val="38"/>
          <w:rFonts w:hint="eastAsia" w:ascii="宋体" w:hAnsi="宋体" w:eastAsia="宋体" w:cs="宋体"/>
          <w:b w:val="0"/>
          <w:color w:val="auto"/>
          <w:sz w:val="32"/>
          <w:szCs w:val="32"/>
          <w:highlight w:val="none"/>
          <w:u w:val="none"/>
          <w:lang w:val="en-US" w:eastAsia="zh-CN"/>
        </w:rPr>
        <w:t>2</w:t>
      </w:r>
      <w:r>
        <w:rPr>
          <w:rStyle w:val="38"/>
          <w:rFonts w:hint="eastAsia" w:cs="宋体"/>
          <w:b w:val="0"/>
          <w:color w:val="auto"/>
          <w:sz w:val="32"/>
          <w:szCs w:val="32"/>
          <w:highlight w:val="none"/>
          <w:u w:val="none"/>
          <w:lang w:val="en-US" w:eastAsia="zh-CN"/>
        </w:rPr>
        <w:t>8</w:t>
      </w:r>
    </w:p>
    <w:p>
      <w:pPr>
        <w:pStyle w:val="25"/>
        <w:rPr>
          <w:rStyle w:val="38"/>
          <w:rFonts w:hint="eastAsia" w:ascii="宋体" w:hAnsi="宋体" w:eastAsia="宋体" w:cs="宋体"/>
          <w:b w:val="0"/>
          <w:color w:val="auto"/>
          <w:szCs w:val="21"/>
          <w:highlight w:val="none"/>
          <w:u w:val="none"/>
        </w:rPr>
      </w:pPr>
      <w:r>
        <w:rPr>
          <w:rStyle w:val="38"/>
          <w:rFonts w:hint="eastAsia" w:ascii="宋体" w:hAnsi="宋体" w:eastAsia="宋体" w:cs="宋体"/>
          <w:b w:val="0"/>
          <w:color w:val="auto"/>
          <w:szCs w:val="21"/>
          <w:highlight w:val="none"/>
          <w:u w:val="none"/>
        </w:rPr>
        <w:t xml:space="preserve">    </w:t>
      </w:r>
    </w:p>
    <w:p>
      <w:pPr>
        <w:pStyle w:val="25"/>
        <w:ind w:firstLine="420"/>
        <w:rPr>
          <w:rStyle w:val="38"/>
          <w:rFonts w:hint="eastAsia" w:ascii="宋体" w:hAnsi="宋体" w:eastAsia="宋体" w:cs="宋体"/>
          <w:b w:val="0"/>
          <w:color w:val="auto"/>
          <w:szCs w:val="21"/>
          <w:highlight w:val="none"/>
          <w:u w:val="none"/>
        </w:rPr>
      </w:pPr>
    </w:p>
    <w:p>
      <w:pPr>
        <w:rPr>
          <w:rFonts w:hint="eastAsia" w:ascii="宋体" w:hAnsi="宋体" w:eastAsia="宋体" w:cs="宋体"/>
          <w:color w:val="auto"/>
          <w:highlight w:val="none"/>
        </w:rPr>
      </w:pPr>
    </w:p>
    <w:p>
      <w:pPr>
        <w:pStyle w:val="25"/>
        <w:rPr>
          <w:rStyle w:val="38"/>
          <w:rFonts w:hint="eastAsia" w:ascii="宋体" w:hAnsi="宋体" w:eastAsia="宋体" w:cs="宋体"/>
          <w:b w:val="0"/>
          <w:color w:val="auto"/>
          <w:szCs w:val="21"/>
          <w:highlight w:val="none"/>
          <w:u w:val="none"/>
        </w:rPr>
      </w:pPr>
    </w:p>
    <w:p>
      <w:pPr>
        <w:pStyle w:val="25"/>
        <w:rPr>
          <w:rStyle w:val="38"/>
          <w:rFonts w:hint="eastAsia" w:ascii="宋体" w:hAnsi="宋体" w:eastAsia="宋体" w:cs="宋体"/>
          <w:b w:val="0"/>
          <w:color w:val="auto"/>
          <w:szCs w:val="21"/>
          <w:highlight w:val="none"/>
          <w:u w:val="none"/>
        </w:rPr>
      </w:pPr>
      <w:r>
        <w:rPr>
          <w:rStyle w:val="38"/>
          <w:rFonts w:hint="eastAsia" w:ascii="宋体" w:hAnsi="宋体" w:eastAsia="宋体" w:cs="宋体"/>
          <w:b w:val="0"/>
          <w:color w:val="auto"/>
          <w:szCs w:val="21"/>
          <w:highlight w:val="none"/>
          <w:u w:val="none"/>
        </w:rPr>
        <w:t xml:space="preserve">    </w:t>
      </w:r>
    </w:p>
    <w:p>
      <w:pPr>
        <w:ind w:left="200" w:firstLine="420"/>
        <w:rPr>
          <w:rFonts w:hint="eastAsia" w:ascii="宋体" w:hAnsi="宋体" w:eastAsia="宋体" w:cs="宋体"/>
          <w:color w:val="auto"/>
          <w:highlight w:val="none"/>
        </w:rPr>
      </w:pPr>
    </w:p>
    <w:p>
      <w:pPr>
        <w:pStyle w:val="25"/>
        <w:rPr>
          <w:rStyle w:val="38"/>
          <w:rFonts w:hint="eastAsia" w:ascii="宋体" w:hAnsi="宋体" w:eastAsia="宋体" w:cs="宋体"/>
          <w:b w:val="0"/>
          <w:color w:val="auto"/>
          <w:szCs w:val="21"/>
          <w:highlight w:val="none"/>
          <w:u w:val="none"/>
        </w:rPr>
      </w:pPr>
      <w:r>
        <w:rPr>
          <w:rStyle w:val="38"/>
          <w:rFonts w:hint="eastAsia" w:ascii="宋体" w:hAnsi="宋体" w:eastAsia="宋体" w:cs="宋体"/>
          <w:b w:val="0"/>
          <w:color w:val="auto"/>
          <w:szCs w:val="21"/>
          <w:highlight w:val="none"/>
          <w:u w:val="none"/>
        </w:rPr>
        <w:t xml:space="preserve">   </w:t>
      </w:r>
    </w:p>
    <w:p>
      <w:pPr>
        <w:pStyle w:val="25"/>
        <w:rPr>
          <w:rStyle w:val="38"/>
          <w:rFonts w:hint="eastAsia" w:ascii="宋体" w:hAnsi="宋体" w:eastAsia="宋体" w:cs="宋体"/>
          <w:b w:val="0"/>
          <w:color w:val="auto"/>
          <w:szCs w:val="21"/>
          <w:highlight w:val="none"/>
          <w:u w:val="none"/>
        </w:rPr>
      </w:pPr>
      <w:r>
        <w:rPr>
          <w:rStyle w:val="38"/>
          <w:rFonts w:hint="eastAsia" w:ascii="宋体" w:hAnsi="宋体" w:eastAsia="宋体" w:cs="宋体"/>
          <w:b w:val="0"/>
          <w:color w:val="auto"/>
          <w:szCs w:val="21"/>
          <w:highlight w:val="none"/>
          <w:u w:val="none"/>
        </w:rPr>
        <w:t xml:space="preserve">    </w:t>
      </w:r>
      <w:r>
        <w:rPr>
          <w:rFonts w:hint="eastAsia" w:ascii="宋体" w:hAnsi="宋体" w:eastAsia="宋体" w:cs="宋体"/>
          <w:b w:val="0"/>
          <w:color w:val="auto"/>
          <w:sz w:val="21"/>
          <w:szCs w:val="21"/>
          <w:highlight w:val="none"/>
        </w:rPr>
        <w:fldChar w:fldCharType="begin"/>
      </w:r>
      <w:r>
        <w:rPr>
          <w:rStyle w:val="38"/>
          <w:rFonts w:hint="eastAsia" w:ascii="宋体" w:hAnsi="宋体" w:eastAsia="宋体" w:cs="宋体"/>
          <w:b w:val="0"/>
          <w:color w:val="auto"/>
          <w:szCs w:val="21"/>
          <w:highlight w:val="none"/>
          <w:u w:val="none"/>
        </w:rPr>
        <w:instrText xml:space="preserve"> TOC \o "1-3" \h \z \u </w:instrText>
      </w:r>
      <w:r>
        <w:rPr>
          <w:rFonts w:hint="eastAsia" w:ascii="宋体" w:hAnsi="宋体" w:eastAsia="宋体" w:cs="宋体"/>
          <w:b w:val="0"/>
          <w:color w:val="auto"/>
          <w:sz w:val="21"/>
          <w:szCs w:val="21"/>
          <w:highlight w:val="none"/>
        </w:rPr>
        <w:fldChar w:fldCharType="separate"/>
      </w:r>
    </w:p>
    <w:p>
      <w:pPr>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end"/>
      </w:r>
    </w:p>
    <w:p>
      <w:pPr>
        <w:rPr>
          <w:rFonts w:hint="eastAsia" w:ascii="宋体" w:hAnsi="宋体" w:eastAsia="宋体" w:cs="宋体"/>
          <w:color w:val="auto"/>
          <w:highlight w:val="none"/>
        </w:rPr>
      </w:pPr>
    </w:p>
    <w:p>
      <w:pPr>
        <w:pStyle w:val="29"/>
        <w:rPr>
          <w:rFonts w:hint="eastAsia" w:ascii="宋体" w:hAnsi="宋体" w:eastAsia="宋体" w:cs="宋体"/>
          <w:color w:val="auto"/>
          <w:kern w:val="44"/>
          <w:highlight w:val="none"/>
        </w:rPr>
      </w:pPr>
      <w:bookmarkStart w:id="1" w:name="_Toc212354372"/>
      <w:r>
        <w:rPr>
          <w:rFonts w:hint="eastAsia" w:ascii="宋体" w:hAnsi="宋体" w:eastAsia="宋体" w:cs="宋体"/>
          <w:color w:val="auto"/>
          <w:highlight w:val="none"/>
        </w:rPr>
        <w:br w:type="page"/>
      </w:r>
      <w:bookmarkEnd w:id="1"/>
      <w:bookmarkStart w:id="2" w:name="_Toc225593756"/>
      <w:bookmarkStart w:id="3" w:name="_Toc212354374"/>
      <w:bookmarkStart w:id="4" w:name="_Toc212354380"/>
      <w:r>
        <w:rPr>
          <w:rFonts w:hint="eastAsia" w:ascii="宋体" w:hAnsi="宋体" w:eastAsia="宋体" w:cs="宋体"/>
          <w:color w:val="auto"/>
          <w:kern w:val="44"/>
          <w:highlight w:val="none"/>
        </w:rPr>
        <w:t>第一章  投标须知</w:t>
      </w:r>
      <w:bookmarkEnd w:id="2"/>
      <w:r>
        <w:rPr>
          <w:rFonts w:hint="eastAsia" w:ascii="宋体" w:hAnsi="宋体" w:eastAsia="宋体" w:cs="宋体"/>
          <w:color w:val="auto"/>
          <w:kern w:val="44"/>
          <w:highlight w:val="none"/>
        </w:rPr>
        <w:t>及投标须知前附表</w:t>
      </w:r>
    </w:p>
    <w:p>
      <w:pPr>
        <w:pStyle w:val="3"/>
        <w:keepLines/>
        <w:widowControl w:val="0"/>
        <w:numPr>
          <w:ilvl w:val="0"/>
          <w:numId w:val="1"/>
        </w:numPr>
        <w:spacing w:line="360" w:lineRule="auto"/>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一、投标须知前附表</w:t>
      </w:r>
    </w:p>
    <w:tbl>
      <w:tblPr>
        <w:tblStyle w:val="31"/>
        <w:tblpPr w:leftFromText="180" w:rightFromText="180" w:vertAnchor="text" w:horzAnchor="margin" w:tblpY="32"/>
        <w:tblW w:w="93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660"/>
        <w:gridCol w:w="1680"/>
        <w:gridCol w:w="6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64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4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2021年罗定市农产品质量安全监督检测站仪器设备采购项目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总预算金额为</w:t>
            </w: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¥530,000.00元</w:t>
            </w:r>
            <w:r>
              <w:rPr>
                <w:rFonts w:hint="eastAsia" w:ascii="宋体" w:hAnsi="宋体" w:eastAsia="宋体" w:cs="宋体"/>
                <w:color w:val="auto"/>
                <w:sz w:val="21"/>
                <w:szCs w:val="21"/>
                <w:highlight w:val="none"/>
              </w:rPr>
              <w:t>，投标超出预算属于无效投标。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本项目采用包质量、包</w:t>
            </w:r>
            <w:r>
              <w:rPr>
                <w:rFonts w:hint="eastAsia" w:ascii="宋体" w:hAnsi="宋体" w:cs="宋体"/>
                <w:color w:val="auto"/>
                <w:sz w:val="21"/>
                <w:szCs w:val="21"/>
                <w:highlight w:val="none"/>
                <w:lang w:eastAsia="zh-CN"/>
              </w:rPr>
              <w:t>安装、包货期</w:t>
            </w:r>
            <w:r>
              <w:rPr>
                <w:rFonts w:hint="eastAsia" w:ascii="宋体" w:hAnsi="宋体" w:eastAsia="宋体" w:cs="宋体"/>
                <w:color w:val="auto"/>
                <w:sz w:val="21"/>
                <w:szCs w:val="21"/>
                <w:highlight w:val="none"/>
              </w:rPr>
              <w:t>的方式承包。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要求满足国家及行业的有关运行规范的标准要求，保质保量。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2021年罗定市农产品质量安全监督检测站仪器设备采购项目</w:t>
            </w:r>
            <w:r>
              <w:rPr>
                <w:rFonts w:hint="eastAsia" w:ascii="宋体" w:hAnsi="宋体" w:eastAsia="宋体" w:cs="宋体"/>
                <w:color w:val="auto"/>
                <w:sz w:val="21"/>
                <w:szCs w:val="21"/>
                <w:highlight w:val="none"/>
              </w:rPr>
              <w:t>，具体内容详见</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工作内容</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val="en-US" w:eastAsia="zh-CN"/>
              </w:rPr>
              <w:t>2021年罗定市农产品质量安全监督检测站仪器设备采购项目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供货期要求</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rPr>
              <w:t>总体项目在合同签订生效起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0天内完成交货安装及调试，并提交项目验收报告。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财政</w:t>
            </w:r>
            <w:r>
              <w:rPr>
                <w:rFonts w:hint="eastAsia" w:ascii="宋体" w:hAnsi="宋体" w:eastAsia="宋体" w:cs="宋体"/>
                <w:color w:val="auto"/>
                <w:sz w:val="21"/>
                <w:szCs w:val="21"/>
                <w:highlight w:val="none"/>
              </w:rPr>
              <w:t>资金到位情况：100%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w:t>
            </w:r>
          </w:p>
        </w:tc>
        <w:tc>
          <w:tcPr>
            <w:tcW w:w="648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投标人具有独立承担民事责任能力的在中华人民共和国境内注册的法人或其他组织，具有从事本项目的经营范围和能力。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项目预算价</w:t>
            </w:r>
          </w:p>
        </w:tc>
        <w:tc>
          <w:tcPr>
            <w:tcW w:w="64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项目预算价：</w:t>
            </w:r>
            <w:r>
              <w:rPr>
                <w:rFonts w:hint="eastAsia" w:ascii="宋体" w:hAnsi="宋体" w:cs="宋体"/>
                <w:b/>
                <w:bCs/>
                <w:color w:val="auto"/>
                <w:sz w:val="24"/>
                <w:szCs w:val="24"/>
                <w:highlight w:val="none"/>
                <w:u w:val="single"/>
                <w:lang w:val="en-US" w:eastAsia="zh-CN"/>
              </w:rPr>
              <w:t>¥530,000.00元</w:t>
            </w:r>
            <w:r>
              <w:rPr>
                <w:rFonts w:hint="eastAsia" w:ascii="宋体" w:hAnsi="宋体" w:eastAsia="宋体" w:cs="宋体"/>
                <w:color w:val="auto"/>
                <w:sz w:val="21"/>
                <w:szCs w:val="21"/>
                <w:highlight w:val="none"/>
              </w:rPr>
              <w:t>，投标超出预算属于无效投标。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投标截止日后</w:t>
            </w: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投标担保金</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踏查现场</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不需要踏查现场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壹</w:t>
            </w:r>
            <w:r>
              <w:rPr>
                <w:rFonts w:hint="eastAsia" w:ascii="宋体" w:hAnsi="宋体" w:eastAsia="宋体" w:cs="宋体"/>
                <w:color w:val="auto"/>
                <w:sz w:val="21"/>
                <w:szCs w:val="21"/>
                <w:highlight w:val="none"/>
              </w:rPr>
              <w:t>份正本，</w:t>
            </w:r>
            <w:r>
              <w:rPr>
                <w:rFonts w:hint="eastAsia" w:ascii="宋体" w:hAnsi="宋体" w:cs="宋体"/>
                <w:b/>
                <w:bCs/>
                <w:color w:val="auto"/>
                <w:sz w:val="21"/>
                <w:szCs w:val="21"/>
                <w:highlight w:val="none"/>
                <w:lang w:eastAsia="zh-CN"/>
              </w:rPr>
              <w:t>叁</w:t>
            </w:r>
            <w:r>
              <w:rPr>
                <w:rFonts w:hint="eastAsia" w:ascii="宋体" w:hAnsi="宋体" w:eastAsia="宋体" w:cs="宋体"/>
                <w:color w:val="auto"/>
                <w:sz w:val="21"/>
                <w:szCs w:val="21"/>
                <w:highlight w:val="none"/>
              </w:rPr>
              <w:t>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6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投标文件提交时间及地点</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截止时间: </w:t>
            </w:r>
            <w:r>
              <w:rPr>
                <w:rFonts w:hint="eastAsia" w:ascii="宋体" w:hAnsi="宋体" w:cs="宋体"/>
                <w:color w:val="auto"/>
                <w:sz w:val="21"/>
                <w:szCs w:val="21"/>
                <w:highlight w:val="none"/>
                <w:lang w:eastAsia="zh-CN"/>
              </w:rPr>
              <w:t>2021年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 xml:space="preserve">日 </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时00分</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点：</w:t>
            </w:r>
            <w:r>
              <w:rPr>
                <w:rFonts w:hint="eastAsia" w:ascii="宋体" w:hAnsi="宋体" w:cs="宋体"/>
                <w:color w:val="auto"/>
                <w:sz w:val="21"/>
                <w:szCs w:val="21"/>
                <w:highlight w:val="none"/>
                <w:lang w:eastAsia="zh-CN"/>
              </w:rPr>
              <w:t>罗定市罗城街道细坑大岗东路</w:t>
            </w:r>
            <w:r>
              <w:rPr>
                <w:rFonts w:hint="eastAsia" w:ascii="宋体" w:hAnsi="宋体" w:cs="宋体"/>
                <w:color w:val="auto"/>
                <w:sz w:val="21"/>
                <w:szCs w:val="21"/>
                <w:highlight w:val="none"/>
                <w:lang w:val="en-US" w:eastAsia="zh-CN"/>
              </w:rPr>
              <w:t>148号</w:t>
            </w:r>
            <w:r>
              <w:rPr>
                <w:rFonts w:hint="eastAsia" w:ascii="宋体" w:hAnsi="宋体" w:cs="宋体"/>
                <w:color w:val="auto"/>
                <w:sz w:val="21"/>
                <w:szCs w:val="21"/>
                <w:highlight w:val="none"/>
                <w:lang w:eastAsia="zh-CN"/>
              </w:rPr>
              <w:t>（机动车检测站）四楼（罗定市泷洲招标代理有限公司）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6"/>
              <w:ind w:left="-3" w:firstLine="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w:t>
            </w:r>
          </w:p>
        </w:tc>
        <w:tc>
          <w:tcPr>
            <w:tcW w:w="648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2021年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日 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时00分</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点：罗定市罗城街道细坑大岗东路148号（机动车</w:t>
            </w:r>
            <w:r>
              <w:rPr>
                <w:rFonts w:hint="eastAsia" w:ascii="宋体" w:hAnsi="宋体" w:cs="宋体"/>
                <w:color w:val="auto"/>
                <w:sz w:val="21"/>
                <w:szCs w:val="21"/>
                <w:highlight w:val="none"/>
                <w:lang w:eastAsia="zh-CN"/>
              </w:rPr>
              <w:t>检测</w:t>
            </w:r>
            <w:r>
              <w:rPr>
                <w:rFonts w:hint="eastAsia" w:ascii="宋体" w:hAnsi="宋体" w:eastAsia="宋体" w:cs="宋体"/>
                <w:color w:val="auto"/>
                <w:sz w:val="21"/>
                <w:szCs w:val="21"/>
                <w:highlight w:val="none"/>
              </w:rPr>
              <w:t>站）四楼</w:t>
            </w:r>
            <w:r>
              <w:rPr>
                <w:rFonts w:hint="eastAsia" w:ascii="宋体" w:hAnsi="宋体" w:cs="宋体"/>
                <w:color w:val="auto"/>
                <w:sz w:val="21"/>
                <w:szCs w:val="21"/>
                <w:highlight w:val="none"/>
                <w:lang w:eastAsia="zh-CN"/>
              </w:rPr>
              <w:t>（罗定市泷洲招标代理有限公司）</w:t>
            </w:r>
          </w:p>
        </w:tc>
      </w:tr>
    </w:tbl>
    <w:p>
      <w:pPr>
        <w:jc w:val="center"/>
        <w:rPr>
          <w:rFonts w:hint="eastAsia" w:ascii="宋体" w:hAnsi="宋体" w:eastAsia="宋体" w:cs="宋体"/>
          <w:color w:val="auto"/>
          <w:highlight w:val="none"/>
        </w:rPr>
      </w:pPr>
      <w:bookmarkStart w:id="5" w:name="_Toc154559516"/>
      <w:r>
        <w:rPr>
          <w:rFonts w:hint="eastAsia" w:ascii="宋体" w:hAnsi="宋体" w:eastAsia="宋体" w:cs="宋体"/>
          <w:color w:val="auto"/>
          <w:sz w:val="21"/>
          <w:szCs w:val="21"/>
          <w:highlight w:val="none"/>
        </w:rPr>
        <w:t xml:space="preserve">                                        注：本</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提及的所有时间均为北京时间。</w:t>
      </w:r>
      <w:bookmarkEnd w:id="5"/>
    </w:p>
    <w:p>
      <w:pPr>
        <w:jc w:val="center"/>
        <w:rPr>
          <w:rFonts w:hint="eastAsia" w:ascii="宋体" w:hAnsi="宋体" w:eastAsia="宋体" w:cs="宋体"/>
          <w:color w:val="auto"/>
          <w:sz w:val="21"/>
          <w:szCs w:val="21"/>
          <w:highlight w:val="none"/>
        </w:rPr>
      </w:pPr>
    </w:p>
    <w:p>
      <w:pPr>
        <w:pStyle w:val="3"/>
        <w:keepLines/>
        <w:widowControl w:val="0"/>
        <w:spacing w:line="360" w:lineRule="auto"/>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二、投标须知</w:t>
      </w:r>
      <w:bookmarkEnd w:id="3"/>
    </w:p>
    <w:p>
      <w:pPr>
        <w:pStyle w:val="4"/>
        <w:rPr>
          <w:rFonts w:hint="eastAsia" w:ascii="宋体" w:hAnsi="宋体" w:eastAsia="宋体" w:cs="宋体"/>
          <w:color w:val="auto"/>
          <w:sz w:val="28"/>
          <w:szCs w:val="28"/>
          <w:highlight w:val="none"/>
        </w:rPr>
      </w:pPr>
      <w:bookmarkStart w:id="6" w:name="_Toc212354375"/>
      <w:r>
        <w:rPr>
          <w:rFonts w:hint="eastAsia" w:ascii="宋体" w:hAnsi="宋体" w:eastAsia="宋体" w:cs="宋体"/>
          <w:color w:val="auto"/>
          <w:sz w:val="28"/>
          <w:szCs w:val="28"/>
          <w:highlight w:val="none"/>
        </w:rPr>
        <w:t>（一）总则</w:t>
      </w:r>
      <w:bookmarkEnd w:id="6"/>
    </w:p>
    <w:p>
      <w:pPr>
        <w:pStyle w:val="7"/>
        <w:spacing w:line="480" w:lineRule="exact"/>
        <w:ind w:left="50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1、项目说明</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1.1本次</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说明详见本须知前附表第1项～第5项；</w:t>
      </w:r>
    </w:p>
    <w:p>
      <w:pPr>
        <w:spacing w:line="480" w:lineRule="exact"/>
        <w:ind w:left="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1.2本次</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按照《中华人民共和国招标投标法》等有关法律、法规和规章，通过邀请招标的方式选定承包人。</w:t>
      </w:r>
    </w:p>
    <w:p>
      <w:pPr>
        <w:spacing w:line="480" w:lineRule="exact"/>
        <w:ind w:left="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采购单位：</w:t>
      </w:r>
      <w:r>
        <w:rPr>
          <w:rFonts w:hint="eastAsia" w:ascii="宋体" w:hAnsi="宋体" w:cs="宋体"/>
          <w:color w:val="auto"/>
          <w:sz w:val="21"/>
          <w:szCs w:val="21"/>
          <w:highlight w:val="none"/>
          <w:lang w:eastAsia="zh-CN"/>
        </w:rPr>
        <w:t>罗定市农业农村局</w:t>
      </w:r>
    </w:p>
    <w:p>
      <w:pPr>
        <w:spacing w:line="4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采购代理机构：</w:t>
      </w:r>
      <w:r>
        <w:rPr>
          <w:rFonts w:hint="eastAsia" w:ascii="宋体" w:hAnsi="宋体" w:cs="宋体"/>
          <w:color w:val="auto"/>
          <w:sz w:val="21"/>
          <w:szCs w:val="21"/>
          <w:highlight w:val="none"/>
          <w:lang w:eastAsia="zh-CN"/>
        </w:rPr>
        <w:t>罗定市泷洲招标代理有限公司</w:t>
      </w:r>
    </w:p>
    <w:p>
      <w:pPr>
        <w:spacing w:line="480" w:lineRule="exact"/>
        <w:ind w:lef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公司地址:罗定市罗城街道细坑大岗东路148号（</w:t>
      </w:r>
      <w:r>
        <w:rPr>
          <w:rFonts w:hint="eastAsia" w:ascii="宋体" w:hAnsi="宋体" w:cs="宋体"/>
          <w:color w:val="auto"/>
          <w:sz w:val="21"/>
          <w:szCs w:val="21"/>
          <w:highlight w:val="none"/>
          <w:lang w:eastAsia="zh-CN"/>
        </w:rPr>
        <w:t>机动车检测站</w:t>
      </w:r>
      <w:r>
        <w:rPr>
          <w:rFonts w:hint="eastAsia" w:ascii="宋体" w:hAnsi="宋体" w:eastAsia="宋体" w:cs="宋体"/>
          <w:color w:val="auto"/>
          <w:sz w:val="21"/>
          <w:szCs w:val="21"/>
          <w:highlight w:val="none"/>
        </w:rPr>
        <w:t>）四楼（罗定市泷洲招标代理有限公司）</w:t>
      </w:r>
    </w:p>
    <w:p>
      <w:pPr>
        <w:spacing w:line="480" w:lineRule="exact"/>
        <w:ind w:left="94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eastAsia="zh-CN"/>
        </w:rPr>
        <w:t>王小姐</w:t>
      </w:r>
    </w:p>
    <w:p>
      <w:pPr>
        <w:spacing w:line="480" w:lineRule="exact"/>
        <w:ind w:left="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联系电话：0766-</w:t>
      </w:r>
      <w:r>
        <w:rPr>
          <w:rFonts w:hint="eastAsia" w:ascii="宋体" w:hAnsi="宋体" w:cs="宋体"/>
          <w:color w:val="auto"/>
          <w:sz w:val="21"/>
          <w:szCs w:val="21"/>
          <w:highlight w:val="none"/>
          <w:lang w:val="en-US" w:eastAsia="zh-CN"/>
        </w:rPr>
        <w:t>3990665</w:t>
      </w:r>
    </w:p>
    <w:p>
      <w:pPr>
        <w:spacing w:line="480" w:lineRule="exact"/>
        <w:ind w:left="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真：0766-</w:t>
      </w:r>
      <w:r>
        <w:rPr>
          <w:rFonts w:hint="eastAsia" w:ascii="宋体" w:hAnsi="宋体" w:cs="宋体"/>
          <w:color w:val="auto"/>
          <w:sz w:val="21"/>
          <w:szCs w:val="21"/>
          <w:highlight w:val="none"/>
          <w:lang w:val="en-US" w:eastAsia="zh-CN"/>
        </w:rPr>
        <w:t>3990665</w:t>
      </w:r>
    </w:p>
    <w:p>
      <w:pPr>
        <w:pStyle w:val="7"/>
        <w:spacing w:line="480" w:lineRule="exact"/>
        <w:ind w:left="49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2、项目概况</w:t>
      </w:r>
    </w:p>
    <w:p>
      <w:pPr>
        <w:spacing w:line="480" w:lineRule="exact"/>
        <w:ind w:left="40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2.1招标范围</w:t>
      </w:r>
    </w:p>
    <w:p>
      <w:pPr>
        <w:spacing w:line="480" w:lineRule="exact"/>
        <w:ind w:left="40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2021年罗定市农产品质量安全监督检测站仪器设备采购项目</w:t>
      </w:r>
      <w:r>
        <w:rPr>
          <w:rFonts w:hint="eastAsia" w:ascii="宋体" w:hAnsi="宋体" w:eastAsia="宋体" w:cs="宋体"/>
          <w:color w:val="auto"/>
          <w:sz w:val="21"/>
          <w:szCs w:val="21"/>
          <w:highlight w:val="none"/>
        </w:rPr>
        <w:t>。详见第三章《用户需求》</w:t>
      </w:r>
    </w:p>
    <w:p>
      <w:pPr>
        <w:spacing w:line="480" w:lineRule="exact"/>
        <w:ind w:left="40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2.2工作内容</w:t>
      </w:r>
    </w:p>
    <w:p>
      <w:pPr>
        <w:spacing w:line="480" w:lineRule="exact"/>
        <w:ind w:left="82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val="en-US" w:eastAsia="zh-CN"/>
        </w:rPr>
        <w:t>2021年罗定市农产品质量安全监督检测站仪器设备采购项目</w:t>
      </w:r>
      <w:r>
        <w:rPr>
          <w:rFonts w:hint="eastAsia" w:ascii="宋体" w:hAnsi="宋体" w:eastAsia="宋体" w:cs="宋体"/>
          <w:color w:val="auto"/>
          <w:sz w:val="21"/>
          <w:szCs w:val="21"/>
          <w:highlight w:val="none"/>
        </w:rPr>
        <w:t>。详见第三章《用户需求》</w:t>
      </w:r>
    </w:p>
    <w:p>
      <w:pPr>
        <w:spacing w:line="480" w:lineRule="exact"/>
        <w:ind w:left="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2.3供货要求</w:t>
      </w:r>
    </w:p>
    <w:p>
      <w:pPr>
        <w:spacing w:line="480" w:lineRule="exact"/>
        <w:ind w:left="824"/>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总体项目在合同签订生效起50天内完成交货安装及调试，并提交项目验收报告。</w:t>
      </w:r>
    </w:p>
    <w:p>
      <w:pPr>
        <w:pStyle w:val="7"/>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3、资金来源</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见前附表“资金来源”。</w:t>
      </w:r>
    </w:p>
    <w:p>
      <w:pPr>
        <w:pStyle w:val="7"/>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4、合格的投标人</w:t>
      </w:r>
    </w:p>
    <w:p>
      <w:pPr>
        <w:spacing w:line="48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4.1投标人资质条件、能力。</w:t>
      </w:r>
    </w:p>
    <w:p>
      <w:pPr>
        <w:spacing w:line="48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1）投标人具有独立承担民事责任能力的在中华人民共和国境内注册的法人或其他组织，具有从事本项目的经营范围和能力。</w:t>
      </w:r>
    </w:p>
    <w:p>
      <w:pPr>
        <w:spacing w:line="480" w:lineRule="exact"/>
        <w:ind w:firstLine="420" w:firstLineChars="200"/>
        <w:jc w:val="both"/>
        <w:rPr>
          <w:rFonts w:hint="eastAsia"/>
          <w:lang w:eastAsia="zh-CN"/>
        </w:rPr>
      </w:pPr>
      <w:r>
        <w:rPr>
          <w:rFonts w:hint="eastAsia" w:ascii="宋体" w:hAnsi="宋体" w:eastAsia="宋体" w:cs="宋体"/>
          <w:color w:val="auto"/>
          <w:sz w:val="21"/>
          <w:szCs w:val="21"/>
          <w:highlight w:val="none"/>
          <w:lang w:val="en-US" w:eastAsia="zh-CN"/>
        </w:rPr>
        <w:t>2）不接受联合体投标。</w:t>
      </w:r>
    </w:p>
    <w:p>
      <w:pPr>
        <w:spacing w:line="480" w:lineRule="exact"/>
        <w:ind w:firstLine="420" w:firstLineChars="200"/>
        <w:jc w:val="both"/>
        <w:rPr>
          <w:rFonts w:hint="eastAsia"/>
          <w:color w:val="auto"/>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 xml:space="preserve">采购项目采用资格审查方式确定合格投标人。   </w:t>
      </w:r>
    </w:p>
    <w:p>
      <w:pPr>
        <w:pStyle w:val="7"/>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5、踏勘现场</w:t>
      </w:r>
    </w:p>
    <w:p>
      <w:pPr>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5.1不需要踏查</w:t>
      </w:r>
      <w:r>
        <w:rPr>
          <w:rFonts w:hint="eastAsia" w:ascii="宋体" w:hAnsi="宋体" w:eastAsia="宋体" w:cs="宋体"/>
          <w:bCs/>
          <w:color w:val="auto"/>
          <w:sz w:val="21"/>
          <w:szCs w:val="21"/>
          <w:highlight w:val="none"/>
        </w:rPr>
        <w:t>现场</w:t>
      </w:r>
    </w:p>
    <w:p>
      <w:pPr>
        <w:pStyle w:val="7"/>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6、投标费用</w:t>
      </w:r>
    </w:p>
    <w:p>
      <w:pPr>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6.1投标人应承担因其投标编制投标文件与递交投标文件所涉及的一切费用。不管投标结果如何，采购单位对上述费用不负任何责任。</w:t>
      </w:r>
    </w:p>
    <w:p>
      <w:pPr>
        <w:pStyle w:val="2"/>
        <w:ind w:firstLine="420" w:firstLineChars="200"/>
        <w:rPr>
          <w:rFonts w:hint="eastAsia" w:ascii="宋体" w:hAnsi="宋体" w:cs="宋体"/>
          <w:color w:val="auto"/>
          <w:sz w:val="21"/>
          <w:szCs w:val="21"/>
          <w:highlight w:val="none"/>
          <w:lang w:val="en-US" w:eastAsia="zh-CN"/>
        </w:rPr>
      </w:pPr>
    </w:p>
    <w:p>
      <w:pPr>
        <w:pStyle w:val="2"/>
        <w:ind w:firstLine="420" w:firstLineChars="200"/>
        <w:rPr>
          <w:rFonts w:hint="default" w:eastAsia="宋体"/>
          <w:lang w:val="en-US" w:eastAsia="zh-CN"/>
        </w:rPr>
      </w:pPr>
      <w:r>
        <w:rPr>
          <w:rFonts w:hint="eastAsia" w:ascii="宋体" w:hAnsi="宋体" w:cs="宋体"/>
          <w:color w:val="auto"/>
          <w:sz w:val="21"/>
          <w:szCs w:val="21"/>
          <w:highlight w:val="none"/>
          <w:lang w:val="en-US" w:eastAsia="zh-CN"/>
        </w:rPr>
        <w:t>6.2购买邀标文件，邀标文件每套售价 200 元（人民币），售后不退。</w:t>
      </w:r>
    </w:p>
    <w:p>
      <w:pPr>
        <w:jc w:val="both"/>
        <w:rPr>
          <w:rFonts w:hint="eastAsia" w:ascii="宋体" w:hAnsi="宋体" w:eastAsia="宋体" w:cs="宋体"/>
          <w:color w:val="auto"/>
          <w:sz w:val="21"/>
          <w:szCs w:val="21"/>
          <w:highlight w:val="none"/>
        </w:rPr>
      </w:pPr>
    </w:p>
    <w:p>
      <w:pPr>
        <w:pStyle w:val="4"/>
        <w:rPr>
          <w:rFonts w:hint="eastAsia" w:ascii="宋体" w:hAnsi="宋体" w:eastAsia="宋体" w:cs="宋体"/>
          <w:color w:val="auto"/>
          <w:sz w:val="28"/>
          <w:szCs w:val="28"/>
          <w:highlight w:val="none"/>
          <w:lang w:eastAsia="zh-CN"/>
        </w:rPr>
      </w:pPr>
      <w:bookmarkStart w:id="7" w:name="_Toc212354376"/>
      <w:r>
        <w:rPr>
          <w:rFonts w:hint="eastAsia" w:ascii="宋体" w:hAnsi="宋体" w:eastAsia="宋体" w:cs="宋体"/>
          <w:color w:val="auto"/>
          <w:sz w:val="28"/>
          <w:szCs w:val="28"/>
          <w:highlight w:val="none"/>
        </w:rPr>
        <w:t>（二）</w:t>
      </w:r>
      <w:bookmarkEnd w:id="7"/>
      <w:r>
        <w:rPr>
          <w:rFonts w:hint="eastAsia" w:cs="宋体"/>
          <w:color w:val="auto"/>
          <w:sz w:val="28"/>
          <w:szCs w:val="28"/>
          <w:highlight w:val="none"/>
          <w:lang w:eastAsia="zh-CN"/>
        </w:rPr>
        <w:t>邀标文件</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cs="宋体"/>
          <w:color w:val="auto"/>
          <w:sz w:val="21"/>
          <w:szCs w:val="21"/>
          <w:highlight w:val="none"/>
          <w:lang w:eastAsia="zh-CN"/>
        </w:rPr>
        <w:t>邀标文件</w:t>
      </w:r>
      <w:r>
        <w:rPr>
          <w:rFonts w:hint="eastAsia" w:ascii="宋体" w:hAnsi="宋体" w:eastAsia="宋体" w:cs="宋体"/>
          <w:color w:val="auto"/>
          <w:sz w:val="21"/>
          <w:szCs w:val="21"/>
          <w:highlight w:val="none"/>
        </w:rPr>
        <w:t>的组成</w:t>
      </w:r>
    </w:p>
    <w:p>
      <w:pPr>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包括下列内容：</w:t>
      </w:r>
    </w:p>
    <w:p>
      <w:pPr>
        <w:spacing w:line="480" w:lineRule="exact"/>
        <w:ind w:left="360" w:leftChars="18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第一章  投标须知及投标须知前附表</w:t>
      </w:r>
    </w:p>
    <w:p>
      <w:pPr>
        <w:spacing w:line="480" w:lineRule="exact"/>
        <w:ind w:left="400" w:leftChars="200" w:firstLine="382" w:firstLineChars="181"/>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第二章  合同范本</w:t>
      </w:r>
    </w:p>
    <w:p>
      <w:pPr>
        <w:spacing w:line="480" w:lineRule="exact"/>
        <w:ind w:left="360" w:leftChars="18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第三章  用户需求</w:t>
      </w:r>
    </w:p>
    <w:p>
      <w:pPr>
        <w:spacing w:line="480" w:lineRule="exact"/>
        <w:ind w:left="360" w:leftChars="18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第四章  投标文件部分格式要求</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除7.1内容外，采购单位在提交投标文件截止时间 3天前，以书面形式发出的对</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的澄清或修改内容，均为</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的组成部分，对采购单位和投标人起约束作用。</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投标人获取</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后，应仔细检查</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的所有内容，如有残缺等问题应在获得</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3日内向采购单位提出，否则，由此引起的损失由投标人自己承担。投标人同时应认真审阅</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中所有的事项、格式、条款和规范要求等，若投标人的投标文件没有按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要求提交全部资料，或投标文件没有对</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做出实质性响应，其风险由投标人自行承担，并根据有关条款规定，该投标有可能被拒绝。</w:t>
      </w:r>
    </w:p>
    <w:p>
      <w:pPr>
        <w:keepNext w:val="0"/>
        <w:keepLines w:val="0"/>
        <w:pageBreakBefore w:val="0"/>
        <w:widowControl/>
        <w:kinsoku/>
        <w:wordWrap/>
        <w:overflowPunct/>
        <w:topLinePunct w:val="0"/>
        <w:autoSpaceDE/>
        <w:autoSpaceDN/>
        <w:bidi w:val="0"/>
        <w:adjustRightInd/>
        <w:snapToGri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7.4除上述所列内容外，采购单位、采购代理机构的任何工作人员对投标人所作的任何口头解释、介绍、答复，只能供投标人参考，对采购单位和采购代理机构无任何约束力。</w:t>
      </w:r>
    </w:p>
    <w:p>
      <w:pPr>
        <w:pStyle w:val="7"/>
        <w:pageBreakBefore w:val="0"/>
        <w:kinsoku/>
        <w:wordWrap/>
        <w:overflowPunct/>
        <w:topLinePunct w:val="0"/>
        <w:autoSpaceDE/>
        <w:autoSpaceDN/>
        <w:bidi w:val="0"/>
        <w:adjustRightInd/>
        <w:snapToGrid/>
        <w:spacing w:line="480" w:lineRule="exact"/>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cs="宋体"/>
          <w:color w:val="auto"/>
          <w:sz w:val="21"/>
          <w:szCs w:val="21"/>
          <w:highlight w:val="none"/>
          <w:lang w:eastAsia="zh-CN"/>
        </w:rPr>
        <w:t>邀标文件</w:t>
      </w:r>
      <w:r>
        <w:rPr>
          <w:rFonts w:hint="eastAsia" w:ascii="宋体" w:hAnsi="宋体" w:eastAsia="宋体" w:cs="宋体"/>
          <w:color w:val="auto"/>
          <w:sz w:val="21"/>
          <w:szCs w:val="21"/>
          <w:highlight w:val="none"/>
        </w:rPr>
        <w:t>的澄清</w:t>
      </w:r>
    </w:p>
    <w:p>
      <w:pPr>
        <w:pStyle w:val="16"/>
        <w:keepNext w:val="0"/>
        <w:keepLines w:val="0"/>
        <w:pageBreakBefore w:val="0"/>
        <w:widowControl w:val="0"/>
        <w:kinsoku/>
        <w:wordWrap/>
        <w:overflowPunct/>
        <w:topLinePunct w:val="0"/>
        <w:autoSpaceDE/>
        <w:autoSpaceDN/>
        <w:bidi w:val="0"/>
        <w:adjustRightInd/>
        <w:snapToGrid/>
        <w:spacing w:line="480" w:lineRule="exact"/>
        <w:ind w:left="850" w:leftChars="0" w:hanging="450" w:firstLineChars="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8.1投标人在收到</w:t>
      </w:r>
      <w:r>
        <w:rPr>
          <w:rFonts w:hint="eastAsia" w:hAnsi="宋体" w:cs="宋体"/>
          <w:color w:val="auto"/>
          <w:kern w:val="0"/>
          <w:szCs w:val="21"/>
          <w:highlight w:val="none"/>
          <w:lang w:eastAsia="zh-CN"/>
        </w:rPr>
        <w:t>邀标文件</w:t>
      </w:r>
      <w:r>
        <w:rPr>
          <w:rFonts w:hint="eastAsia" w:ascii="宋体" w:hAnsi="宋体" w:eastAsia="宋体" w:cs="宋体"/>
          <w:color w:val="auto"/>
          <w:kern w:val="0"/>
          <w:szCs w:val="21"/>
          <w:highlight w:val="none"/>
        </w:rPr>
        <w:t>后，若有问题需要澄清，应在收到</w:t>
      </w:r>
      <w:r>
        <w:rPr>
          <w:rFonts w:hint="eastAsia" w:hAnsi="宋体" w:cs="宋体"/>
          <w:color w:val="auto"/>
          <w:kern w:val="0"/>
          <w:szCs w:val="21"/>
          <w:highlight w:val="none"/>
          <w:lang w:eastAsia="zh-CN"/>
        </w:rPr>
        <w:t>邀标文件</w:t>
      </w:r>
      <w:r>
        <w:rPr>
          <w:rFonts w:hint="eastAsia" w:ascii="宋体" w:hAnsi="宋体" w:eastAsia="宋体" w:cs="宋体"/>
          <w:color w:val="auto"/>
          <w:kern w:val="0"/>
          <w:szCs w:val="21"/>
          <w:highlight w:val="none"/>
        </w:rPr>
        <w:t>3天内以书面形式(包括书面文字、传真)向采购单位提出，对投标人提出的问题，采购单位将以</w:t>
      </w:r>
      <w:r>
        <w:rPr>
          <w:rFonts w:hint="eastAsia" w:hAnsi="宋体" w:cs="宋体"/>
          <w:color w:val="auto"/>
          <w:kern w:val="0"/>
          <w:szCs w:val="21"/>
          <w:highlight w:val="none"/>
          <w:lang w:eastAsia="zh-CN"/>
        </w:rPr>
        <w:t>邀标</w:t>
      </w:r>
      <w:r>
        <w:rPr>
          <w:rFonts w:hint="eastAsia" w:ascii="宋体" w:hAnsi="宋体" w:eastAsia="宋体" w:cs="宋体"/>
          <w:color w:val="auto"/>
          <w:kern w:val="0"/>
          <w:szCs w:val="21"/>
          <w:highlight w:val="none"/>
        </w:rPr>
        <w:t>答疑会的方式或其它形式组织答疑，以书面方式予以解答，书面答复将送给所有获得</w:t>
      </w:r>
      <w:r>
        <w:rPr>
          <w:rFonts w:hint="eastAsia" w:hAnsi="宋体" w:cs="宋体"/>
          <w:color w:val="auto"/>
          <w:kern w:val="0"/>
          <w:szCs w:val="21"/>
          <w:highlight w:val="none"/>
          <w:lang w:eastAsia="zh-CN"/>
        </w:rPr>
        <w:t>邀标文件</w:t>
      </w:r>
      <w:r>
        <w:rPr>
          <w:rFonts w:hint="eastAsia" w:ascii="宋体" w:hAnsi="宋体" w:eastAsia="宋体" w:cs="宋体"/>
          <w:color w:val="auto"/>
          <w:kern w:val="0"/>
          <w:szCs w:val="21"/>
          <w:highlight w:val="none"/>
        </w:rPr>
        <w:t>的投标人。采购单位发出的书面答疑纪要，是</w:t>
      </w:r>
      <w:r>
        <w:rPr>
          <w:rFonts w:hint="eastAsia" w:hAnsi="宋体" w:cs="宋体"/>
          <w:color w:val="auto"/>
          <w:kern w:val="0"/>
          <w:szCs w:val="21"/>
          <w:highlight w:val="none"/>
          <w:lang w:eastAsia="zh-CN"/>
        </w:rPr>
        <w:t>邀标文件</w:t>
      </w:r>
      <w:r>
        <w:rPr>
          <w:rFonts w:hint="eastAsia" w:ascii="宋体" w:hAnsi="宋体" w:eastAsia="宋体" w:cs="宋体"/>
          <w:color w:val="auto"/>
          <w:kern w:val="0"/>
          <w:szCs w:val="21"/>
          <w:highlight w:val="none"/>
        </w:rPr>
        <w:t>的组成部分。在投标截止前3天内，采购单位不再解答问题。</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cs="宋体"/>
          <w:color w:val="auto"/>
          <w:sz w:val="21"/>
          <w:szCs w:val="21"/>
          <w:highlight w:val="none"/>
          <w:lang w:eastAsia="zh-CN"/>
        </w:rPr>
        <w:t>邀标文件</w:t>
      </w:r>
      <w:r>
        <w:rPr>
          <w:rFonts w:hint="eastAsia" w:ascii="宋体" w:hAnsi="宋体" w:eastAsia="宋体" w:cs="宋体"/>
          <w:color w:val="auto"/>
          <w:sz w:val="21"/>
          <w:szCs w:val="21"/>
          <w:highlight w:val="none"/>
        </w:rPr>
        <w:t>的修改</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9.1 </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发出后，在提交投标文件截止时间3日前，采购单位可对</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进行必要的澄清或修改。</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9.2 </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的修改将以书面形式发送给所有投标人，投标人应于收到该修改文件后1日内以书面形式给予确认。</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的修改内容作为</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的组成部分，具有约束作用。</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的澄清、修改、补充等内容均以书面形式明确的内容为准。当</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的澄清、修改、补充等在同一内容的表述上不一致时，以最后发出的书面文件为准。</w:t>
      </w:r>
    </w:p>
    <w:p>
      <w:pPr>
        <w:keepNext w:val="0"/>
        <w:keepLines w:val="0"/>
        <w:pageBreakBefore w:val="0"/>
        <w:widowControl/>
        <w:kinsoku/>
        <w:wordWrap/>
        <w:overflowPunct/>
        <w:topLinePunct w:val="0"/>
        <w:autoSpaceDE/>
        <w:autoSpaceDN/>
        <w:bidi w:val="0"/>
        <w:adjustRightInd/>
        <w:snapToGrid/>
        <w:spacing w:line="480" w:lineRule="exact"/>
        <w:ind w:left="628" w:leftChars="200" w:hanging="228" w:hangingChars="109"/>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9.4为使投标人在编制投标文件时有充分的时间对</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的澄清、修改、补充等内容进行研究，采购单位将酌情延长提交投标文件的截止时间，具体时间将在</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的修改、补充通知中予以明确。</w:t>
      </w:r>
    </w:p>
    <w:p>
      <w:pPr>
        <w:pStyle w:val="4"/>
        <w:rPr>
          <w:rFonts w:hint="eastAsia" w:ascii="宋体" w:hAnsi="宋体" w:eastAsia="宋体" w:cs="宋体"/>
          <w:color w:val="auto"/>
          <w:sz w:val="28"/>
          <w:szCs w:val="28"/>
          <w:highlight w:val="none"/>
        </w:rPr>
      </w:pPr>
      <w:bookmarkStart w:id="8" w:name="_Toc212354377"/>
      <w:r>
        <w:rPr>
          <w:rFonts w:hint="eastAsia" w:ascii="宋体" w:hAnsi="宋体" w:eastAsia="宋体" w:cs="宋体"/>
          <w:color w:val="auto"/>
          <w:sz w:val="28"/>
          <w:szCs w:val="28"/>
          <w:highlight w:val="none"/>
        </w:rPr>
        <w:t>（三）投标文件的编制</w:t>
      </w:r>
      <w:bookmarkEnd w:id="8"/>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10、投标文件的语言及度量衡单位</w:t>
      </w:r>
    </w:p>
    <w:p>
      <w:pPr>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10.1投标文件和与投标有关的所有文件均应使用简体中文 。</w:t>
      </w:r>
    </w:p>
    <w:p>
      <w:pPr>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10.2除项目规范另有规定外，投标文件使用的度量衡单位，均采用中华人民共和国法定计量单位。</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11、投标文件的组成</w:t>
      </w:r>
    </w:p>
    <w:p>
      <w:pPr>
        <w:spacing w:line="4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 投标文件由商务、技术两部分组成。</w:t>
      </w:r>
    </w:p>
    <w:p>
      <w:pPr>
        <w:spacing w:line="480" w:lineRule="exact"/>
        <w:ind w:left="424" w:leftChars="208" w:hanging="8" w:hangingChars="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规定的内容和格式编制并提交投标文件。投标人不编制技术文件，直接编制商务文件，组成如下：</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（2）组织机构代码证副本；</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（3）税务登记证书（国、地）副本；</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(如已经办理三证合一的，只需提供统一社会信用代码的营业执照）</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（4）法人证明书、法人授权证明书原件；</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（5）法人身份证、被授权人身份证复印件；</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（6）投标函；</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（7）投标响应性表；</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要求或投标人认为有必要提供的其他资料。</w:t>
      </w:r>
    </w:p>
    <w:p>
      <w:pPr>
        <w:spacing w:line="48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注：以上资料复印件必须加盖公章。</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12、投标文件格式    </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12.1投标文件包括（但不限于）本须知第11条中规定的内容，投标人提交的投标文件应当使用</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所提供的投标文件全部格式（表格可以按同样格式扩展），没有提供投标文件格式的，投标人自行编制。</w:t>
      </w:r>
    </w:p>
    <w:p>
      <w:pPr>
        <w:pStyle w:val="7"/>
        <w:spacing w:line="480" w:lineRule="exact"/>
        <w:ind w:left="0" w:leftChars="0" w:firstLine="400" w:firstLineChars="0"/>
        <w:rPr>
          <w:rFonts w:hint="eastAsia" w:ascii="宋体" w:hAnsi="宋体" w:eastAsia="宋体" w:cs="宋体"/>
          <w:color w:val="auto"/>
          <w:sz w:val="21"/>
          <w:szCs w:val="21"/>
          <w:highlight w:val="none"/>
        </w:rPr>
      </w:pPr>
      <w:bookmarkStart w:id="9" w:name="_Toc29356205"/>
      <w:r>
        <w:rPr>
          <w:rFonts w:hint="eastAsia" w:ascii="宋体" w:hAnsi="宋体" w:eastAsia="宋体" w:cs="宋体"/>
          <w:color w:val="auto"/>
          <w:sz w:val="21"/>
          <w:szCs w:val="21"/>
          <w:highlight w:val="none"/>
        </w:rPr>
        <w:t>13、投标</w:t>
      </w:r>
      <w:bookmarkEnd w:id="9"/>
      <w:r>
        <w:rPr>
          <w:rFonts w:hint="eastAsia" w:ascii="宋体" w:hAnsi="宋体" w:eastAsia="宋体" w:cs="宋体"/>
          <w:color w:val="auto"/>
          <w:sz w:val="21"/>
          <w:szCs w:val="21"/>
          <w:highlight w:val="none"/>
        </w:rPr>
        <w:t>报价</w:t>
      </w:r>
    </w:p>
    <w:p>
      <w:pPr>
        <w:pStyle w:val="7"/>
        <w:spacing w:line="48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根据投标人对本项目提供的投标由低至高确定中标人，采纳最低报价投标者为中标。</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14、投标担保金</w:t>
      </w:r>
    </w:p>
    <w:p>
      <w:pPr>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不设投标保证金</w:t>
      </w:r>
      <w:r>
        <w:rPr>
          <w:rFonts w:hint="eastAsia" w:ascii="宋体" w:hAnsi="宋体" w:eastAsia="宋体" w:cs="宋体"/>
          <w:color w:val="auto"/>
          <w:highlight w:val="none"/>
        </w:rPr>
        <w:t>。</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15、投标有效期</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15.1投标有效期见本须知前附表第13项所规定的期限，在此期限内，凡符合本</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要求的投标文件均保持有效。</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在特殊情况下，采购单位在原定投标有效期内，可以根据需要以书面形式向投标人提出延长投标有效期的要求，对此要求投标人须以书面形式予以答复。同意延长投标有效期的投标人既不能要求也不允许修改其投标文件，但需要相应的延长投标担保的有效期。</w:t>
      </w:r>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16、投标文件的份数和签署</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投标人应按本须知前附表第 16项规定的份数提交投标文件。</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投标文件的唱标信封、正本和副本均需打印或使用不褪色的蓝、黑墨水笔书写，字迹应清晰易于辨认，并应在投标文件封面的右上角清楚地注明“唱标信封、正本或副本”。正本和副本如有不一致之处，以正本为准。</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16.3商务和技术、企业情况等每份完整的文件均应由投标人的法定代表人或者其委托的代理人签署并在封面页上加盖</w:t>
      </w:r>
      <w:r>
        <w:rPr>
          <w:rFonts w:hint="eastAsia" w:ascii="宋体" w:hAnsi="宋体" w:eastAsia="宋体" w:cs="宋体"/>
          <w:b/>
          <w:color w:val="auto"/>
          <w:sz w:val="21"/>
          <w:szCs w:val="21"/>
          <w:highlight w:val="none"/>
        </w:rPr>
        <w:t>公章</w:t>
      </w:r>
      <w:r>
        <w:rPr>
          <w:rFonts w:hint="eastAsia" w:ascii="宋体" w:hAnsi="宋体" w:eastAsia="宋体" w:cs="宋体"/>
          <w:color w:val="auto"/>
          <w:sz w:val="21"/>
          <w:szCs w:val="21"/>
          <w:highlight w:val="none"/>
        </w:rPr>
        <w:t>；并在</w:t>
      </w:r>
      <w:r>
        <w:rPr>
          <w:rFonts w:hint="eastAsia" w:ascii="宋体" w:hAnsi="宋体" w:eastAsia="宋体" w:cs="宋体"/>
          <w:b/>
          <w:color w:val="auto"/>
          <w:sz w:val="21"/>
          <w:szCs w:val="21"/>
          <w:highlight w:val="none"/>
        </w:rPr>
        <w:t>投标文件正本上每一页均需加盖公章</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除投标人对错误处须修改外，全套投标文件应无涂改或行间插字和增删。如有修改，修改处应由投标人加盖</w:t>
      </w:r>
      <w:r>
        <w:rPr>
          <w:rFonts w:hint="eastAsia" w:ascii="宋体" w:hAnsi="宋体" w:eastAsia="宋体" w:cs="宋体"/>
          <w:b/>
          <w:color w:val="auto"/>
          <w:sz w:val="21"/>
          <w:szCs w:val="21"/>
          <w:highlight w:val="none"/>
        </w:rPr>
        <w:t>公章</w:t>
      </w:r>
      <w:r>
        <w:rPr>
          <w:rFonts w:hint="eastAsia" w:ascii="宋体" w:hAnsi="宋体" w:eastAsia="宋体" w:cs="宋体"/>
          <w:color w:val="auto"/>
          <w:sz w:val="21"/>
          <w:szCs w:val="21"/>
          <w:highlight w:val="none"/>
        </w:rPr>
        <w:t>或由投标文件签字人签字。</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16.5投标人应在所有投标文件的正本和所有副本封面右上角，明确标明“唱标信封、正本或副本”。</w:t>
      </w:r>
      <w:bookmarkStart w:id="10" w:name="_Toc212354378"/>
    </w:p>
    <w:p>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（四）投标文件的提交</w:t>
      </w:r>
      <w:bookmarkEnd w:id="10"/>
    </w:p>
    <w:p>
      <w:pPr>
        <w:pStyle w:val="7"/>
        <w:spacing w:line="480" w:lineRule="exact"/>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17、投标文件的装订、密封和标记</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17.1投标文件的装订要求：</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17.1.1投标人应将投标文件正本、副本分开密封装在封套中，封套须加盖公章且在封套上标明“正本”“副本”字样。</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17.1.2投标人提交投标文件时应备有一个“唱标信封”，并将下列内容单独密封入该信封（信封须加盖公章）</w:t>
      </w:r>
    </w:p>
    <w:p>
      <w:pPr>
        <w:keepNext w:val="0"/>
        <w:keepLines w:val="0"/>
        <w:pageBreakBefore w:val="0"/>
        <w:widowControl/>
        <w:numPr>
          <w:ilvl w:val="0"/>
          <w:numId w:val="2"/>
        </w:numPr>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从投标文件正本中复印的投标报价总表；</w:t>
      </w:r>
    </w:p>
    <w:p>
      <w:pPr>
        <w:keepNext w:val="0"/>
        <w:keepLines w:val="0"/>
        <w:pageBreakBefore w:val="0"/>
        <w:widowControl/>
        <w:kinsoku/>
        <w:wordWrap/>
        <w:overflowPunct/>
        <w:topLinePunct w:val="0"/>
        <w:bidi w:val="0"/>
        <w:adjustRightInd/>
        <w:spacing w:line="360" w:lineRule="auto"/>
        <w:ind w:left="629" w:leftChars="157"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（2）法定代表人授权书；</w:t>
      </w:r>
    </w:p>
    <w:p>
      <w:pPr>
        <w:keepNext w:val="0"/>
        <w:keepLines w:val="0"/>
        <w:pageBreakBefore w:val="0"/>
        <w:widowControl/>
        <w:kinsoku/>
        <w:wordWrap/>
        <w:overflowPunct/>
        <w:topLinePunct w:val="0"/>
        <w:autoSpaceDE w:val="0"/>
        <w:autoSpaceDN w:val="0"/>
        <w:bidi w:val="0"/>
        <w:adjustRightInd/>
        <w:snapToGrid w:val="0"/>
        <w:spacing w:line="480" w:lineRule="exact"/>
        <w:ind w:left="629" w:leftChars="157"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17.2所有密封的投标文件；</w:t>
      </w:r>
      <w:r>
        <w:rPr>
          <w:rFonts w:hint="eastAsia" w:ascii="宋体" w:hAnsi="宋体" w:eastAsia="宋体" w:cs="宋体"/>
          <w:b/>
          <w:color w:val="auto"/>
          <w:sz w:val="21"/>
          <w:szCs w:val="21"/>
          <w:highlight w:val="none"/>
        </w:rPr>
        <w:t>封口处要贴封签并由投标人的法定代表人或者其委托的代理人签字并加盖投标公章骑缝章。</w:t>
      </w:r>
      <w:r>
        <w:rPr>
          <w:rFonts w:hint="eastAsia" w:ascii="宋体" w:hAnsi="宋体" w:eastAsia="宋体" w:cs="宋体"/>
          <w:color w:val="auto"/>
          <w:sz w:val="21"/>
          <w:szCs w:val="21"/>
          <w:highlight w:val="none"/>
        </w:rPr>
        <w:t>若未加盖公章或破损造成暴露标书，招标单位将拒收。其中</w:t>
      </w:r>
      <w:r>
        <w:rPr>
          <w:rFonts w:hint="eastAsia" w:ascii="宋体" w:hAnsi="宋体" w:eastAsia="宋体" w:cs="宋体"/>
          <w:b/>
          <w:color w:val="auto"/>
          <w:sz w:val="21"/>
          <w:szCs w:val="21"/>
          <w:highlight w:val="none"/>
        </w:rPr>
        <w:t>投标文件正本一份、副本</w:t>
      </w:r>
      <w:r>
        <w:rPr>
          <w:rFonts w:hint="eastAsia" w:ascii="宋体" w:hAnsi="宋体" w:cs="宋体"/>
          <w:b/>
          <w:color w:val="auto"/>
          <w:sz w:val="21"/>
          <w:szCs w:val="21"/>
          <w:highlight w:val="none"/>
          <w:lang w:eastAsia="zh-CN"/>
        </w:rPr>
        <w:t>三</w:t>
      </w:r>
      <w:r>
        <w:rPr>
          <w:rFonts w:hint="eastAsia" w:ascii="宋体" w:hAnsi="宋体" w:eastAsia="宋体" w:cs="宋体"/>
          <w:b/>
          <w:color w:val="auto"/>
          <w:sz w:val="21"/>
          <w:szCs w:val="21"/>
          <w:highlight w:val="none"/>
        </w:rPr>
        <w:t>份，如正副本不一致时，以正本为准。</w:t>
      </w:r>
      <w:r>
        <w:rPr>
          <w:rFonts w:hint="eastAsia" w:ascii="宋体" w:hAnsi="宋体" w:eastAsia="宋体" w:cs="宋体"/>
          <w:color w:val="auto"/>
          <w:sz w:val="21"/>
          <w:szCs w:val="21"/>
          <w:highlight w:val="none"/>
        </w:rPr>
        <w:t>投标文件未按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要求签署、密封和标记的，</w:t>
      </w:r>
      <w:r>
        <w:rPr>
          <w:rFonts w:hint="eastAsia" w:ascii="宋体" w:hAnsi="宋体" w:eastAsia="宋体" w:cs="宋体"/>
          <w:color w:val="auto"/>
          <w:spacing w:val="-4"/>
          <w:sz w:val="21"/>
          <w:szCs w:val="21"/>
          <w:highlight w:val="none"/>
        </w:rPr>
        <w:t>采购代理机构概不接受。</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17.3封套均应按以下要求标记；</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17.3.1写明项目名称、收件人名称、采购编号、投标人名称、投标人文件地址、投标人代表、联系电话；</w:t>
      </w:r>
    </w:p>
    <w:p>
      <w:pPr>
        <w:keepNext w:val="0"/>
        <w:keepLines w:val="0"/>
        <w:pageBreakBefore w:val="0"/>
        <w:widowControl/>
        <w:kinsoku/>
        <w:wordWrap/>
        <w:overflowPunct/>
        <w:topLinePunct w:val="0"/>
        <w:bidi w:val="0"/>
        <w:adjustRightInd/>
        <w:spacing w:line="480" w:lineRule="exact"/>
        <w:ind w:left="629" w:leftChars="157" w:hanging="315" w:hangingChars="150"/>
        <w:jc w:val="both"/>
        <w:textAlignment w:val="auto"/>
        <w:outlineLvl w:val="9"/>
        <w:rPr>
          <w:rFonts w:hint="eastAsia"/>
          <w:color w:val="auto"/>
          <w:highlight w:val="none"/>
        </w:rPr>
      </w:pPr>
      <w:r>
        <w:rPr>
          <w:rFonts w:hint="eastAsia" w:ascii="宋体" w:hAnsi="宋体" w:eastAsia="宋体" w:cs="宋体"/>
          <w:color w:val="auto"/>
          <w:sz w:val="21"/>
          <w:szCs w:val="21"/>
          <w:highlight w:val="none"/>
        </w:rPr>
        <w:t>17.3.2注明下列识别标志：</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570" w:type="dxa"/>
            <w:vAlign w:val="top"/>
          </w:tcPr>
          <w:p>
            <w:pPr>
              <w:spacing w:line="360" w:lineRule="auto"/>
              <w:ind w:lef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（正本/副本/唱标信封）</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      年     月     日     时    分（即</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截止时间）”之前不准启封</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收件人名称：</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采购编号： </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pPr>
              <w:spacing w:line="360" w:lineRule="auto"/>
              <w:ind w:left="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                               邮政编码：</w:t>
            </w:r>
          </w:p>
          <w:p>
            <w:pPr>
              <w:tabs>
                <w:tab w:val="left" w:pos="720"/>
              </w:tabs>
              <w:adjustRightInd w:val="0"/>
              <w:snapToGrid w:val="0"/>
              <w:spacing w:line="360" w:lineRule="auto"/>
              <w:ind w:left="830" w:leftChars="100" w:right="30" w:rightChars="15"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联系电话：</w:t>
            </w:r>
          </w:p>
        </w:tc>
      </w:tr>
    </w:tbl>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除了按本须知第17.2款和第17.3款所要求的识别字样外，在投标文件密封袋上还应写明投标人的名称与地址、邮政编码，以便本须知第20条规定情况发生时，采购单位可按密封袋上标明的投标人地址将投标文件原封退回。</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如果投标文件没有按规定格式装订和加写标记及密封，采购单位将不承担投标文件提前开封的责任。对由此造成提前开封的投标文件将予以拒绝，并退还给投标人。</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17.6所有投标文件的密封袋的封口处应加盖公章，并由企业法定代表人或其委托代理人签字。</w:t>
      </w:r>
    </w:p>
    <w:p>
      <w:pPr>
        <w:keepNext w:val="0"/>
        <w:keepLines w:val="0"/>
        <w:pageBreakBefore w:val="0"/>
        <w:widowControl/>
        <w:kinsoku/>
        <w:wordWrap/>
        <w:overflowPunct/>
        <w:topLinePunct w:val="0"/>
        <w:autoSpaceDE/>
        <w:autoSpaceDN/>
        <w:bidi w:val="0"/>
        <w:adjustRightInd/>
        <w:snapToGrid/>
        <w:spacing w:line="480" w:lineRule="exact"/>
        <w:ind w:left="850" w:leftChars="0" w:hanging="45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17.7不论中标与否，投标文件一律不予退还。</w:t>
      </w:r>
    </w:p>
    <w:p>
      <w:pPr>
        <w:pStyle w:val="7"/>
        <w:spacing w:line="480" w:lineRule="exact"/>
        <w:ind w:left="0" w:leftChars="0"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18、投标文件的提交</w:t>
      </w:r>
    </w:p>
    <w:p>
      <w:pPr>
        <w:spacing w:line="480" w:lineRule="exact"/>
        <w:ind w:left="0" w:leftChars="0" w:firstLine="399" w:firstLineChars="19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投标人应按本须知前附表第17项所规定的地点，于截止时间前提交投标文件。</w:t>
      </w:r>
    </w:p>
    <w:p>
      <w:pPr>
        <w:spacing w:line="480" w:lineRule="exact"/>
        <w:ind w:left="859" w:leftChars="208" w:hanging="443" w:hangingChars="2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18.2本项目的投标文件由采购代理机构按投标截止时间前签收，投标人应在投标文件递交截止前将投标文件送达指定地点由采购代理机构签收。</w:t>
      </w:r>
    </w:p>
    <w:p>
      <w:pPr>
        <w:pStyle w:val="7"/>
        <w:spacing w:line="480" w:lineRule="exact"/>
        <w:ind w:left="0" w:leftChars="0"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19、投标文件提交的截止时间</w:t>
      </w:r>
    </w:p>
    <w:p>
      <w:pPr>
        <w:spacing w:line="480" w:lineRule="exact"/>
        <w:ind w:left="0" w:leftChars="0" w:firstLine="399" w:firstLineChars="19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19.1 投标文件的截止时间见本须知前附表第17项规定。</w:t>
      </w:r>
    </w:p>
    <w:p>
      <w:pPr>
        <w:spacing w:line="480" w:lineRule="exact"/>
        <w:ind w:left="859" w:leftChars="208" w:hanging="443" w:hangingChars="2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采购单位可按本须知第9条规定以修改补充通知的方式，酌情延长提交投标文件的截止时间。在此情况下，投标人的所有权利和义务以及投标人受制约的截止时间，均以延长后新的投标截止时间为准。</w:t>
      </w:r>
    </w:p>
    <w:p>
      <w:pPr>
        <w:spacing w:line="480" w:lineRule="exact"/>
        <w:ind w:left="0" w:leftChars="0" w:firstLine="399" w:firstLineChars="19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到投标截止时间止，参加本项目的投标供应商小于3家的，采购单位将依法重新组织招标。</w:t>
      </w:r>
    </w:p>
    <w:p>
      <w:pPr>
        <w:pStyle w:val="7"/>
        <w:spacing w:line="480" w:lineRule="exact"/>
        <w:ind w:left="0" w:leftChars="0"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20、迟交的投标文件</w:t>
      </w:r>
    </w:p>
    <w:p>
      <w:pPr>
        <w:spacing w:line="480" w:lineRule="exact"/>
        <w:ind w:left="859" w:leftChars="208" w:hanging="443" w:hangingChars="2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采购代理机构在本须知第17条规定的投标截止时间以后收到的投标文件，将被拒绝并退回给投标人。</w:t>
      </w:r>
    </w:p>
    <w:p>
      <w:pPr>
        <w:pStyle w:val="7"/>
        <w:spacing w:line="480" w:lineRule="exact"/>
        <w:ind w:left="0" w:leftChars="0"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21、投标文件的补充、修改与撤回</w:t>
      </w:r>
    </w:p>
    <w:p>
      <w:pPr>
        <w:spacing w:line="480" w:lineRule="exact"/>
        <w:ind w:left="859" w:leftChars="208" w:hanging="443" w:hangingChars="2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投标人在提交投标文件以后，在规定的投标截止时间之前，可以书面形式补充修改或撤回已提交的投标文件，并以书面形式通知采购单位。补充、修改的内容为投标文件的组成部分。</w:t>
      </w:r>
    </w:p>
    <w:p>
      <w:pPr>
        <w:spacing w:line="480" w:lineRule="exact"/>
        <w:ind w:left="859" w:leftChars="208" w:hanging="443" w:hangingChars="2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投标人对投标文件的补充、修改，应按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要求有关规定密封、标记和提交，并在投标文件密封袋上清楚标明“补充、修改”或“撤回”字样。</w:t>
      </w:r>
    </w:p>
    <w:p>
      <w:pPr>
        <w:spacing w:line="480" w:lineRule="exact"/>
        <w:ind w:left="0" w:leftChars="0" w:firstLine="399" w:firstLineChars="19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21.3在投标截止时间之后，投标人不得补充、修改投标文件。</w:t>
      </w:r>
    </w:p>
    <w:p>
      <w:pPr>
        <w:spacing w:line="480" w:lineRule="exact"/>
        <w:ind w:left="0" w:leftChars="0" w:firstLine="399" w:firstLineChars="19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在投标截止时间至投标有效期满之前，投标人不得撤回其投标文件。</w:t>
      </w:r>
    </w:p>
    <w:p>
      <w:pPr>
        <w:pStyle w:val="4"/>
        <w:rPr>
          <w:rFonts w:hint="eastAsia" w:ascii="宋体" w:hAnsi="宋体" w:eastAsia="宋体" w:cs="宋体"/>
          <w:color w:val="auto"/>
          <w:sz w:val="28"/>
          <w:szCs w:val="28"/>
          <w:highlight w:val="none"/>
        </w:rPr>
      </w:pPr>
      <w:bookmarkStart w:id="11" w:name="_Toc212354379"/>
      <w:r>
        <w:rPr>
          <w:rFonts w:hint="eastAsia" w:ascii="宋体" w:hAnsi="宋体" w:eastAsia="宋体" w:cs="宋体"/>
          <w:color w:val="auto"/>
          <w:sz w:val="28"/>
          <w:szCs w:val="28"/>
          <w:highlight w:val="none"/>
        </w:rPr>
        <w:t>（五）开    标</w:t>
      </w:r>
      <w:bookmarkEnd w:id="11"/>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22、开标</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22.1采购代理机构按本须知前附表第18项所规定的时间和地点举行开标会议，并邀请投标人参加。</w:t>
      </w:r>
    </w:p>
    <w:p>
      <w:pPr>
        <w:spacing w:line="480" w:lineRule="exact"/>
        <w:ind w:left="420" w:leftChars="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22.2按规定提交合格的撤回通知的投标文件不予开封，并退回给投标人；按本须知第23条规定确定为无效的投标文件，不予送交评审。</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开标程序：</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22.3.1开标由采购代理机构主持；</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22.3.2 由采购代理机构</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shd w:val="clear" w:color="auto"/>
          <w:lang w:eastAsia="zh-CN"/>
        </w:rPr>
        <w:t>投标人代表</w:t>
      </w:r>
      <w:r>
        <w:rPr>
          <w:rFonts w:hint="eastAsia" w:ascii="宋体" w:hAnsi="宋体" w:eastAsia="宋体" w:cs="宋体"/>
          <w:color w:val="auto"/>
          <w:sz w:val="21"/>
          <w:szCs w:val="21"/>
          <w:highlight w:val="none"/>
        </w:rPr>
        <w:t>检查投标文件的密封情况，法定代表人身份证明书和授权委托书；</w:t>
      </w:r>
    </w:p>
    <w:p>
      <w:pPr>
        <w:spacing w:line="480" w:lineRule="exact"/>
        <w:ind w:left="630" w:leftChars="0" w:hanging="630" w:hanging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22.3.3 经确认无误后，由有关工作人员当众拆封，宣读投标人名称、投标价格和投标文件的其他主要内容。</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22.3.4采购单位代表、</w:t>
      </w:r>
      <w:r>
        <w:rPr>
          <w:rFonts w:hint="eastAsia" w:ascii="宋体" w:hAnsi="宋体" w:eastAsia="宋体" w:cs="宋体"/>
          <w:color w:val="auto"/>
          <w:sz w:val="21"/>
          <w:szCs w:val="21"/>
          <w:highlight w:val="none"/>
          <w:shd w:val="clear" w:color="auto"/>
          <w:lang w:eastAsia="zh-CN"/>
        </w:rPr>
        <w:t>投标人代表</w:t>
      </w:r>
      <w:r>
        <w:rPr>
          <w:rFonts w:hint="eastAsia" w:ascii="宋体" w:hAnsi="宋体" w:eastAsia="宋体" w:cs="宋体"/>
          <w:color w:val="auto"/>
          <w:sz w:val="21"/>
          <w:szCs w:val="21"/>
          <w:highlight w:val="none"/>
        </w:rPr>
        <w:t>等有关人员在开标记录上签字确认；</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22.3.5开标结束。</w:t>
      </w:r>
    </w:p>
    <w:p>
      <w:pPr>
        <w:spacing w:line="480" w:lineRule="exact"/>
        <w:ind w:left="420" w:leftChars="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22.4采购代理机构在</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要求提交投标文件的截止时间前收到的投标文件，开标时都应予以拆封、宣读。</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23、投标文件的有效性</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23.1开标时，投标文件出现下列情形之一的，应当作为无效投标文件，不得进入评标：</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23.1.1 投标文件未按</w:t>
      </w:r>
      <w:r>
        <w:rPr>
          <w:rFonts w:hint="eastAsia" w:hAnsi="宋体" w:cs="宋体"/>
          <w:color w:val="auto"/>
          <w:spacing w:val="-6"/>
          <w:highlight w:val="none"/>
          <w:lang w:eastAsia="zh-CN"/>
        </w:rPr>
        <w:t>邀标文件</w:t>
      </w:r>
      <w:r>
        <w:rPr>
          <w:rFonts w:hint="eastAsia" w:ascii="宋体" w:hAnsi="宋体" w:eastAsia="宋体" w:cs="宋体"/>
          <w:color w:val="auto"/>
          <w:spacing w:val="-6"/>
          <w:highlight w:val="none"/>
        </w:rPr>
        <w:t>规定要求包装、标志、密封和递交；</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23.1.2 投标文件未经法定代表人或者其授权代理人签字（或印鉴），或者未加盖投标人公章；</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23.1.3 投标文件在投标截止时间以后送达；</w:t>
      </w:r>
    </w:p>
    <w:p>
      <w:pPr>
        <w:pStyle w:val="16"/>
        <w:spacing w:line="480" w:lineRule="exact"/>
        <w:ind w:left="594" w:leftChars="0" w:hanging="594" w:hangingChars="3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23.1.4 对设立最高限价进行招标的项目，为防止恶意竞争，应设立有效的投标范围，超出此范围的作废标处理；</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23.1.5 投标文件未按</w:t>
      </w:r>
      <w:r>
        <w:rPr>
          <w:rFonts w:hint="eastAsia" w:hAnsi="宋体" w:cs="宋体"/>
          <w:color w:val="auto"/>
          <w:spacing w:val="-6"/>
          <w:highlight w:val="none"/>
          <w:lang w:eastAsia="zh-CN"/>
        </w:rPr>
        <w:t>邀标文件</w:t>
      </w:r>
      <w:r>
        <w:rPr>
          <w:rFonts w:hint="eastAsia" w:ascii="宋体" w:hAnsi="宋体" w:eastAsia="宋体" w:cs="宋体"/>
          <w:color w:val="auto"/>
          <w:spacing w:val="-6"/>
          <w:highlight w:val="none"/>
        </w:rPr>
        <w:t>规定格式填写或者字迹潦草、模糊，无法辨认；</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23.1.6 投标文件不符合</w:t>
      </w:r>
      <w:r>
        <w:rPr>
          <w:rFonts w:hint="eastAsia" w:hAnsi="宋体" w:cs="宋体"/>
          <w:color w:val="auto"/>
          <w:spacing w:val="-6"/>
          <w:highlight w:val="none"/>
          <w:lang w:eastAsia="zh-CN"/>
        </w:rPr>
        <w:t>邀标文件</w:t>
      </w:r>
      <w:r>
        <w:rPr>
          <w:rFonts w:hint="eastAsia" w:ascii="宋体" w:hAnsi="宋体" w:eastAsia="宋体" w:cs="宋体"/>
          <w:color w:val="auto"/>
          <w:spacing w:val="-6"/>
          <w:highlight w:val="none"/>
        </w:rPr>
        <w:t>实质性要求；</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23.1.7 投标人对同一招标项目递交两份以上内容不同的投标文件，未书面声明其中有效的投标文件。</w:t>
      </w:r>
    </w:p>
    <w:p>
      <w:pPr>
        <w:pStyle w:val="16"/>
        <w:spacing w:line="480" w:lineRule="exact"/>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以上23.1.1-23.1.4 条，在开标时由采购单位或者其委托的采购代理机构确认，23.1.6-23.1.7 条及其他的废标情况需经评标委员会审核确定。</w:t>
      </w:r>
    </w:p>
    <w:p>
      <w:pPr>
        <w:spacing w:line="48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23.2采购代理机构将有效投标文件，送评标委员会进行评审、比较。</w:t>
      </w:r>
    </w:p>
    <w:p>
      <w:pPr>
        <w:pStyle w:val="4"/>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（六）评   标</w:t>
      </w:r>
      <w:bookmarkEnd w:id="4"/>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24、评标原则</w:t>
      </w:r>
    </w:p>
    <w:p>
      <w:pPr>
        <w:spacing w:line="480" w:lineRule="exact"/>
        <w:ind w:left="0" w:lef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公平、公正、科学、择优是评标的主要原则。</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25、评标组织</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25.1评标组织的设立</w:t>
      </w:r>
    </w:p>
    <w:p>
      <w:pPr>
        <w:pStyle w:val="16"/>
        <w:pageBreakBefore w:val="0"/>
        <w:kinsoku/>
        <w:wordWrap/>
        <w:overflowPunct/>
        <w:topLinePunct w:val="0"/>
        <w:autoSpaceDE/>
        <w:autoSpaceDN/>
        <w:bidi w:val="0"/>
        <w:adjustRightInd/>
        <w:snapToGrid/>
        <w:spacing w:line="480" w:lineRule="exact"/>
        <w:ind w:left="410" w:leftChars="205" w:firstLine="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评标组织是由采购代理机构设立并负责评标的评标委员会，评标工作在采购代理机构指导下由依法组织的评标委员会负责。评标委员会由</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人组成。</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25.2评标委员会的职责</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25.2.1根据评标办法评审投标文件；</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25.2.2根据评标结果推荐预中标单位。</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25.3评委的产生</w:t>
      </w:r>
    </w:p>
    <w:p>
      <w:pPr>
        <w:pStyle w:val="16"/>
        <w:pageBreakBefore w:val="0"/>
        <w:kinsoku/>
        <w:wordWrap/>
        <w:overflowPunct/>
        <w:topLinePunct w:val="0"/>
        <w:autoSpaceDE/>
        <w:autoSpaceDN/>
        <w:bidi w:val="0"/>
        <w:adjustRightInd/>
        <w:snapToGrid/>
        <w:spacing w:line="480" w:lineRule="exact"/>
        <w:ind w:left="418" w:leftChars="209"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采购单位的评委在开标前确定。选出的评委都不应与投标人有利益关系。</w:t>
      </w:r>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25.4评标委员会的工作办法</w:t>
      </w:r>
    </w:p>
    <w:p>
      <w:pPr>
        <w:pageBreakBefore w:val="0"/>
        <w:kinsoku/>
        <w:wordWrap/>
        <w:overflowPunct/>
        <w:topLinePunct w:val="0"/>
        <w:autoSpaceDE/>
        <w:autoSpaceDN/>
        <w:bidi w:val="0"/>
        <w:adjustRightInd/>
        <w:snapToGrid/>
        <w:spacing w:line="480" w:lineRule="exact"/>
        <w:ind w:left="410" w:leftChars="205" w:firstLine="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在评标过程中，各评委均以专家身份进行评标工作，评标委员会成员不代表其所在单位，也不受任何单位和个人的制约，应独立、公正地开展评标工作。任何单位和个人不得非法干预、影响评标过程和结果。</w:t>
      </w:r>
    </w:p>
    <w:p>
      <w:pPr>
        <w:pStyle w:val="7"/>
        <w:pageBreakBefore w:val="0"/>
        <w:kinsoku/>
        <w:wordWrap/>
        <w:overflowPunct/>
        <w:topLinePunct w:val="0"/>
        <w:autoSpaceDE/>
        <w:autoSpaceDN/>
        <w:bidi w:val="0"/>
        <w:adjustRightInd/>
        <w:snapToGrid/>
        <w:spacing w:line="480" w:lineRule="exact"/>
        <w:ind w:left="316" w:leftChars="0"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26、评标程序</w:t>
      </w:r>
    </w:p>
    <w:p>
      <w:pPr>
        <w:pageBreakBefore w:val="0"/>
        <w:kinsoku/>
        <w:wordWrap/>
        <w:overflowPunct/>
        <w:topLinePunct w:val="0"/>
        <w:autoSpaceDE/>
        <w:autoSpaceDN/>
        <w:bidi w:val="0"/>
        <w:adjustRightInd/>
        <w:snapToGrid/>
        <w:spacing w:line="48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26.1评标前的准备工作</w:t>
      </w:r>
    </w:p>
    <w:p>
      <w:pPr>
        <w:pageBreakBefore w:val="0"/>
        <w:kinsoku/>
        <w:wordWrap/>
        <w:overflowPunct/>
        <w:topLinePunct w:val="0"/>
        <w:autoSpaceDE/>
        <w:autoSpaceDN/>
        <w:bidi w:val="0"/>
        <w:adjustRightInd/>
        <w:snapToGrid/>
        <w:spacing w:line="480" w:lineRule="exact"/>
        <w:ind w:left="418" w:leftChars="209"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所有评标委员会成员在评审前要认真领会和熟悉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，掌握评标程序和评审实施办法。</w:t>
      </w:r>
    </w:p>
    <w:p>
      <w:pPr>
        <w:pageBreakBefore w:val="0"/>
        <w:kinsoku/>
        <w:wordWrap/>
        <w:overflowPunct/>
        <w:topLinePunct w:val="0"/>
        <w:autoSpaceDE/>
        <w:autoSpaceDN/>
        <w:bidi w:val="0"/>
        <w:adjustRightInd/>
        <w:snapToGrid/>
        <w:spacing w:line="48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26.2投标文件的澄清</w:t>
      </w:r>
    </w:p>
    <w:p>
      <w:pPr>
        <w:pageBreakBefore w:val="0"/>
        <w:kinsoku/>
        <w:wordWrap/>
        <w:overflowPunct/>
        <w:topLinePunct w:val="0"/>
        <w:autoSpaceDE/>
        <w:autoSpaceDN/>
        <w:bidi w:val="0"/>
        <w:adjustRightInd/>
        <w:snapToGrid/>
        <w:spacing w:line="480" w:lineRule="exact"/>
        <w:ind w:left="410" w:leftChars="205" w:firstLine="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有助于投标文件的审查、评价和比较，评标委员会可以书面形式要求投标人对投标文件含义不明确的内容作必要的澄清或说明，投标人先以口头形式解答，随后在规定的时间内投标人以书面形式予以确认做出正式答复，澄清和确认的问题须经投标人的法定代表人或者其委托的代理人签字，澄清问题的答复作为投标文件的组成部分。但澄清的问题不允许更改投标价格或投标文件的实质性内容。</w:t>
      </w:r>
    </w:p>
    <w:p>
      <w:pPr>
        <w:pageBreakBefore w:val="0"/>
        <w:kinsoku/>
        <w:wordWrap/>
        <w:overflowPunct/>
        <w:topLinePunct w:val="0"/>
        <w:autoSpaceDE/>
        <w:autoSpaceDN/>
        <w:bidi w:val="0"/>
        <w:adjustRightInd/>
        <w:snapToGrid/>
        <w:spacing w:line="48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26.3投标文件响应性评审</w:t>
      </w:r>
    </w:p>
    <w:p>
      <w:pPr>
        <w:pageBreakBefore w:val="0"/>
        <w:kinsoku/>
        <w:wordWrap/>
        <w:overflowPunct/>
        <w:topLinePunct w:val="0"/>
        <w:autoSpaceDE/>
        <w:autoSpaceDN/>
        <w:bidi w:val="0"/>
        <w:adjustRightInd/>
        <w:snapToGrid/>
        <w:spacing w:line="480" w:lineRule="exact"/>
        <w:ind w:left="410" w:leftChars="205" w:firstLine="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在详细评标前，评标委员会将首先审定每份投标文件是否在实质上响应了</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的要求。就本条款而言，实质上响应</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要求的投标文件，应该与</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规定、要求、条件、条款和规范相符，无显著差异或保留，或者对合同中规定的采购单位的权力及投标人的责任造成实质性限制，而且纠正这种差异或保留，将会对其它实质上响应要求的投标人的竞争地位产生不公正的影响等。主要包括</w:t>
      </w:r>
    </w:p>
    <w:p>
      <w:pPr>
        <w:spacing w:line="480" w:lineRule="exact"/>
        <w:ind w:left="0" w:leftChars="0" w:firstLine="401" w:firstLineChars="19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（1）是否响应</w:t>
      </w:r>
      <w:r>
        <w:rPr>
          <w:rFonts w:hint="eastAsia" w:ascii="宋体" w:hAnsi="宋体" w:cs="宋体"/>
          <w:b/>
          <w:color w:val="auto"/>
          <w:sz w:val="21"/>
          <w:szCs w:val="21"/>
          <w:highlight w:val="none"/>
          <w:lang w:eastAsia="zh-CN"/>
        </w:rPr>
        <w:t>邀标文件</w:t>
      </w:r>
      <w:r>
        <w:rPr>
          <w:rFonts w:hint="eastAsia" w:ascii="宋体" w:hAnsi="宋体" w:eastAsia="宋体" w:cs="宋体"/>
          <w:b/>
          <w:color w:val="auto"/>
          <w:sz w:val="21"/>
          <w:szCs w:val="21"/>
          <w:highlight w:val="none"/>
        </w:rPr>
        <w:t>要求承诺投标有效期；</w:t>
      </w:r>
    </w:p>
    <w:p>
      <w:pPr>
        <w:spacing w:line="480" w:lineRule="exact"/>
        <w:ind w:left="0" w:leftChars="0" w:firstLine="401" w:firstLineChars="19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（2）是否响应</w:t>
      </w:r>
      <w:r>
        <w:rPr>
          <w:rFonts w:hint="eastAsia" w:ascii="宋体" w:hAnsi="宋体" w:cs="宋体"/>
          <w:b/>
          <w:color w:val="auto"/>
          <w:sz w:val="21"/>
          <w:szCs w:val="21"/>
          <w:highlight w:val="none"/>
          <w:lang w:eastAsia="zh-CN"/>
        </w:rPr>
        <w:t>邀标文件</w:t>
      </w:r>
      <w:r>
        <w:rPr>
          <w:rFonts w:hint="eastAsia" w:ascii="宋体" w:hAnsi="宋体" w:eastAsia="宋体" w:cs="宋体"/>
          <w:b/>
          <w:color w:val="auto"/>
          <w:sz w:val="21"/>
          <w:szCs w:val="21"/>
          <w:highlight w:val="none"/>
        </w:rPr>
        <w:t>要求接受合同条款；</w:t>
      </w:r>
    </w:p>
    <w:p>
      <w:pPr>
        <w:spacing w:line="480" w:lineRule="exact"/>
        <w:ind w:left="0" w:leftChars="0" w:firstLine="401" w:firstLineChars="19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（3）是否响应</w:t>
      </w:r>
      <w:r>
        <w:rPr>
          <w:rFonts w:hint="eastAsia" w:ascii="宋体" w:hAnsi="宋体" w:cs="宋体"/>
          <w:b/>
          <w:color w:val="auto"/>
          <w:sz w:val="21"/>
          <w:szCs w:val="21"/>
          <w:highlight w:val="none"/>
          <w:lang w:eastAsia="zh-CN"/>
        </w:rPr>
        <w:t>邀标文件</w:t>
      </w:r>
      <w:r>
        <w:rPr>
          <w:rFonts w:hint="eastAsia" w:ascii="宋体" w:hAnsi="宋体" w:eastAsia="宋体" w:cs="宋体"/>
          <w:b/>
          <w:color w:val="auto"/>
          <w:sz w:val="21"/>
          <w:szCs w:val="21"/>
          <w:highlight w:val="none"/>
        </w:rPr>
        <w:t>要求遵循质量规范；</w:t>
      </w:r>
    </w:p>
    <w:p>
      <w:pPr>
        <w:spacing w:line="480" w:lineRule="exact"/>
        <w:ind w:left="0" w:leftChars="0" w:firstLine="401" w:firstLineChars="19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（4）是否响应</w:t>
      </w:r>
      <w:r>
        <w:rPr>
          <w:rFonts w:hint="eastAsia" w:ascii="宋体" w:hAnsi="宋体" w:cs="宋体"/>
          <w:b/>
          <w:color w:val="auto"/>
          <w:sz w:val="21"/>
          <w:szCs w:val="21"/>
          <w:highlight w:val="none"/>
          <w:lang w:eastAsia="zh-CN"/>
        </w:rPr>
        <w:t>邀标文件</w:t>
      </w:r>
      <w:r>
        <w:rPr>
          <w:rFonts w:hint="eastAsia" w:ascii="宋体" w:hAnsi="宋体" w:eastAsia="宋体" w:cs="宋体"/>
          <w:b/>
          <w:color w:val="auto"/>
          <w:sz w:val="21"/>
          <w:szCs w:val="21"/>
          <w:highlight w:val="none"/>
        </w:rPr>
        <w:t>要求满足供货期；</w:t>
      </w:r>
    </w:p>
    <w:p>
      <w:pPr>
        <w:spacing w:line="480" w:lineRule="exact"/>
        <w:ind w:left="0" w:leftChars="0" w:firstLine="401" w:firstLineChars="19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（5）是否实质上响应</w:t>
      </w:r>
      <w:r>
        <w:rPr>
          <w:rFonts w:hint="eastAsia" w:ascii="宋体" w:hAnsi="宋体" w:cs="宋体"/>
          <w:b/>
          <w:color w:val="auto"/>
          <w:sz w:val="21"/>
          <w:szCs w:val="21"/>
          <w:highlight w:val="none"/>
          <w:lang w:eastAsia="zh-CN"/>
        </w:rPr>
        <w:t>邀标文件</w:t>
      </w:r>
      <w:r>
        <w:rPr>
          <w:rFonts w:hint="eastAsia" w:ascii="宋体" w:hAnsi="宋体" w:eastAsia="宋体" w:cs="宋体"/>
          <w:b/>
          <w:color w:val="auto"/>
          <w:sz w:val="21"/>
          <w:szCs w:val="21"/>
          <w:highlight w:val="none"/>
        </w:rPr>
        <w:t>的其他要求。</w:t>
      </w:r>
    </w:p>
    <w:p>
      <w:pPr>
        <w:spacing w:line="480" w:lineRule="exact"/>
        <w:ind w:left="439" w:leftChars="208" w:hanging="23" w:hangingChars="1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如果投标文件实质上不响应</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的要求，评标委员会将予以拒绝，并且不允许通过修正或撤消其不符合要求的差异或保留，使之成为具有响应性的投标文件。</w:t>
      </w:r>
    </w:p>
    <w:p>
      <w:pPr>
        <w:pStyle w:val="16"/>
        <w:keepNext w:val="0"/>
        <w:keepLines w:val="0"/>
        <w:pageBreakBefore w:val="0"/>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26.4投标审查（</w:t>
      </w:r>
      <w:r>
        <w:rPr>
          <w:rFonts w:hint="eastAsia" w:ascii="宋体" w:hAnsi="宋体" w:eastAsia="宋体" w:cs="宋体"/>
          <w:b/>
          <w:color w:val="auto"/>
          <w:highlight w:val="none"/>
        </w:rPr>
        <w:t>有效投标范围：</w:t>
      </w:r>
      <w:r>
        <w:rPr>
          <w:rFonts w:hint="eastAsia" w:ascii="宋体" w:hAnsi="宋体" w:eastAsia="宋体" w:cs="宋体"/>
          <w:b/>
          <w:color w:val="auto"/>
          <w:szCs w:val="21"/>
          <w:highlight w:val="none"/>
        </w:rPr>
        <w:t>投标总投标不超过最高限才符合有效的范围</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480" w:lineRule="exact"/>
        <w:ind w:left="315" w:leftChars="105" w:hanging="105" w:hangingChars="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评标委员对通过响应性评审的投标文件进行投标报价审查，看其是否有计算或表达上的错误，修正错误的原则如下：</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当投标函总价与投标书总价不一致时，以投标函为准；</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当投标总价与分项投标合计数不一致时，以投标总</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rPr>
        <w:t>为准，但在签订合同时由中标人修正分项的价格使之等于总价；</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当投标函大写与小写不一致时，以大写为准。</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上述修正错误的原则及方法调整或修正投标文件的投标报价，投标人同意后，调整后的投标报价对投标人起约束作用。如果投标人不接受修正后的投标，则其投标将被拒绝并且其投标担保也将被没收，并不影响评标工作。</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评委应客观、公正地对投标文件作出评价，如果发现不公正行为的，评标监督机构有权取消有关评委的评标资格；由于严重违反评标纪律导致评标结果可能不公正时，评标监督机构有权终止本次评标活动，并追究有关人员的责任。</w:t>
      </w:r>
    </w:p>
    <w:p>
      <w:pPr>
        <w:keepNext w:val="0"/>
        <w:keepLines w:val="0"/>
        <w:pageBreakBefore w:val="0"/>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26.6评标委员会经评审，认为所有投标都不符合</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要求的，可以否决所有投标。所有投标被否决后，采购单位应当依法重新</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bookmarkStart w:id="12" w:name="_Toc144793850"/>
      <w:bookmarkStart w:id="13" w:name="_Toc107825896"/>
      <w:r>
        <w:rPr>
          <w:rFonts w:hint="eastAsia" w:ascii="宋体" w:hAnsi="宋体" w:eastAsia="宋体" w:cs="宋体"/>
          <w:color w:val="auto"/>
          <w:sz w:val="21"/>
          <w:szCs w:val="21"/>
          <w:highlight w:val="none"/>
        </w:rPr>
        <w:t xml:space="preserve"> 定标原则</w:t>
      </w:r>
      <w:bookmarkEnd w:id="12"/>
      <w:bookmarkEnd w:id="13"/>
    </w:p>
    <w:p>
      <w:pPr>
        <w:pStyle w:val="16"/>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27.1评标委员会提出评标报告，并依以下顺序向采购单位推荐一至两名中标候选单位：</w:t>
      </w:r>
    </w:p>
    <w:p>
      <w:pPr>
        <w:pStyle w:val="16"/>
        <w:pageBreakBefore w:val="0"/>
        <w:kinsoku/>
        <w:wordWrap/>
        <w:overflowPunct/>
        <w:topLinePunct w:val="0"/>
        <w:autoSpaceDE/>
        <w:autoSpaceDN/>
        <w:bidi w:val="0"/>
        <w:adjustRightInd/>
        <w:snapToGrid/>
        <w:spacing w:line="480" w:lineRule="exact"/>
        <w:ind w:left="315" w:leftChars="105" w:hanging="105" w:hanging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采用“最低评标价法”确定中标人。评标委员会首先对投标人投标文件符合性和响应性进行评审，两者均合格通过的投标人对其投标最低由低到高进行排序，取前两名为预中标单位,若两投标人投标相同，则以公司资质高的投标人排名在先。以此类推。</w:t>
      </w:r>
    </w:p>
    <w:p>
      <w:pPr>
        <w:pageBreakBefore w:val="0"/>
        <w:kinsoku/>
        <w:wordWrap/>
        <w:overflowPunct/>
        <w:topLinePunct w:val="0"/>
        <w:autoSpaceDE/>
        <w:autoSpaceDN/>
        <w:bidi w:val="0"/>
        <w:adjustRightInd/>
        <w:snapToGrid/>
        <w:spacing w:line="48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定标：采购单位根据评标委员会的评标报告及推荐中标意见，确定中标人后，由采购代理机构向中标人发出中标通知书。采购单位应当接受评标委员会推荐的中标候选人，不得在评标委员会推荐的中标候选人之外确定中标人。采购单位可以授权评标委员会直接确定中标人。</w:t>
      </w:r>
    </w:p>
    <w:p>
      <w:pPr>
        <w:pStyle w:val="7"/>
        <w:pageBreakBefore w:val="0"/>
        <w:kinsoku/>
        <w:wordWrap/>
        <w:overflowPunct/>
        <w:topLinePunct w:val="0"/>
        <w:autoSpaceDE/>
        <w:autoSpaceDN/>
        <w:bidi w:val="0"/>
        <w:adjustRightInd/>
        <w:snapToGrid/>
        <w:spacing w:line="480" w:lineRule="exact"/>
        <w:ind w:left="315" w:hanging="316"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28、评标内容的保密</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28、评标过程的保密</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28.1开标后，直至授予中标人合同为止，凡属于对投标文件的审查、澄清、评价和比较的有关资料以及中标候选人的推荐情况，与评标有关的其他任何情况均严格保密。</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在投标文件的评审和比较、中标候选人推荐以及授予合同的过程中，投标人向采购单位和评标委员会施加影响的任何行为，都将会导致其投标被拒绝。</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28.3中标人确定后，采购单位不对未中标人就评标过程以及未能中标原因作出任何解释。未中标人不得向评标委员会组成人员或其他有关人员索问评标过程的情况和材料。</w:t>
      </w:r>
    </w:p>
    <w:p>
      <w:pPr>
        <w:rPr>
          <w:rFonts w:hint="eastAsia" w:ascii="宋体" w:hAnsi="宋体" w:eastAsia="宋体" w:cs="宋体"/>
          <w:b/>
          <w:color w:val="auto"/>
          <w:sz w:val="21"/>
          <w:szCs w:val="21"/>
          <w:highlight w:val="none"/>
        </w:rPr>
      </w:pPr>
    </w:p>
    <w:p>
      <w:pPr>
        <w:pStyle w:val="4"/>
        <w:rPr>
          <w:rFonts w:hint="eastAsia" w:ascii="宋体" w:hAnsi="宋体" w:eastAsia="宋体" w:cs="宋体"/>
          <w:color w:val="auto"/>
          <w:sz w:val="28"/>
          <w:szCs w:val="28"/>
          <w:highlight w:val="none"/>
        </w:rPr>
      </w:pPr>
      <w:bookmarkStart w:id="14" w:name="_Toc212354381"/>
      <w:r>
        <w:rPr>
          <w:rFonts w:hint="eastAsia" w:ascii="宋体" w:hAnsi="宋体" w:eastAsia="宋体" w:cs="宋体"/>
          <w:color w:val="auto"/>
          <w:sz w:val="28"/>
          <w:szCs w:val="28"/>
          <w:highlight w:val="none"/>
        </w:rPr>
        <w:t>（七）合同的授予</w:t>
      </w:r>
      <w:bookmarkEnd w:id="14"/>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29、合同授予标准</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项目的合同将授予按本须知第27.2款所确定的中标人。</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30、采购单位拒绝投标的权力</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30.1采购单位在发出中标通知书前，有权依据评标委员会的评标报告拒绝不合格的投标。</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31、中标通知书</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中标人确定后，招标代理机构将于30天内以书面形式通知中标的投标人其投标被接受。</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31.2采购单位将在发出中标通知书的同时,将中标结果通知所有未中标的投标人。</w:t>
      </w:r>
    </w:p>
    <w:p>
      <w:pPr>
        <w:pStyle w:val="7"/>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32、合同协议书的签订</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采购单位与中标人将于中标通知书发出之日起30日内，按照</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和中标人的投标文件订立书面合同，采购单位和中标人不得再行订立背离合同实质性内容的其他协议。</w:t>
      </w:r>
    </w:p>
    <w:p>
      <w:pPr>
        <w:keepNext w:val="0"/>
        <w:keepLines w:val="0"/>
        <w:pageBreakBefore w:val="0"/>
        <w:widowControl/>
        <w:kinsoku/>
        <w:wordWrap/>
        <w:overflowPunct/>
        <w:topLinePunct w:val="0"/>
        <w:autoSpaceDE/>
        <w:autoSpaceDN/>
        <w:bidi w:val="0"/>
        <w:adjustRightInd/>
        <w:snapToGrid/>
        <w:spacing w:line="480" w:lineRule="exact"/>
        <w:ind w:left="315" w:leftChars="0" w:hanging="315" w:hanging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中标人如不按本投标须知第32.1款的规定与采购单位订立合同，则采购单位将废除授标。确定排名第二的中标候选人为第一的中标候选人</w:t>
      </w:r>
    </w:p>
    <w:p>
      <w:pPr>
        <w:spacing w:line="48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中标人应当按照合同约定履行义务，完成中标项目施工，不得将中标项目施工转让（转包）给他人。</w:t>
      </w:r>
    </w:p>
    <w:p>
      <w:pPr>
        <w:spacing w:line="480" w:lineRule="exact"/>
        <w:rPr>
          <w:rFonts w:hint="eastAsia" w:ascii="宋体" w:hAnsi="宋体" w:eastAsia="宋体" w:cs="宋体"/>
          <w:color w:val="auto"/>
          <w:sz w:val="21"/>
          <w:szCs w:val="21"/>
          <w:highlight w:val="none"/>
        </w:rPr>
      </w:pPr>
    </w:p>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（八）成交服务费</w:t>
      </w:r>
    </w:p>
    <w:p>
      <w:pPr>
        <w:tabs>
          <w:tab w:val="left" w:pos="735"/>
        </w:tabs>
        <w:snapToGrid w:val="0"/>
        <w:spacing w:line="360" w:lineRule="auto"/>
        <w:ind w:left="400" w:right="400" w:rightChars="200" w:hanging="400" w:hangingChars="200"/>
        <w:rPr>
          <w:rFonts w:hint="eastAsia" w:ascii="宋体" w:hAnsi="宋体" w:eastAsia="宋体" w:cs="宋体"/>
          <w:color w:val="auto"/>
          <w:szCs w:val="21"/>
          <w:highlight w:val="none"/>
        </w:rPr>
      </w:pPr>
    </w:p>
    <w:p>
      <w:pPr>
        <w:numPr>
          <w:ilvl w:val="0"/>
          <w:numId w:val="3"/>
        </w:numPr>
        <w:snapToGrid w:val="0"/>
        <w:spacing w:line="360" w:lineRule="auto"/>
        <w:rPr>
          <w:rFonts w:hint="eastAsia" w:ascii="宋体" w:hAnsi="宋体" w:eastAsia="宋体" w:cs="宋体"/>
          <w:lang w:val="en-US" w:eastAsia="zh-CN"/>
        </w:rPr>
      </w:pPr>
      <w:r>
        <w:rPr>
          <w:rFonts w:hint="eastAsia" w:ascii="宋体" w:hAnsi="宋体" w:eastAsia="宋体" w:cs="宋体"/>
          <w:b/>
          <w:color w:val="auto"/>
          <w:sz w:val="21"/>
          <w:szCs w:val="21"/>
        </w:rPr>
        <w:t>成交供应商在收取《成交通知书》时应向采购代理机构交纳成交服务费</w:t>
      </w:r>
      <w:r>
        <w:rPr>
          <w:rFonts w:hint="eastAsia" w:ascii="宋体" w:hAnsi="宋体" w:eastAsia="宋体" w:cs="宋体"/>
          <w:b/>
          <w:color w:val="auto"/>
          <w:sz w:val="21"/>
          <w:szCs w:val="21"/>
          <w:lang w:eastAsia="zh-CN"/>
        </w:rPr>
        <w:t>，中标供应商交纳服务费</w:t>
      </w:r>
      <w:r>
        <w:rPr>
          <w:rFonts w:hint="eastAsia" w:ascii="宋体" w:hAnsi="宋体" w:eastAsia="宋体" w:cs="宋体"/>
          <w:b/>
          <w:color w:val="auto"/>
          <w:sz w:val="21"/>
          <w:szCs w:val="21"/>
          <w:lang w:val="en-US" w:eastAsia="zh-CN"/>
        </w:rPr>
        <w:t>:参照国家计委计价格[2002]1980号文及发改办价格[2003]857号文规定的收费标准。</w:t>
      </w:r>
    </w:p>
    <w:p>
      <w:pPr>
        <w:pStyle w:val="5"/>
        <w:keepNext w:val="0"/>
        <w:keepLines w:val="0"/>
        <w:widowControl w:val="0"/>
        <w:numPr>
          <w:ilvl w:val="0"/>
          <w:numId w:val="0"/>
        </w:numPr>
        <w:spacing w:before="0" w:after="0"/>
        <w:jc w:val="both"/>
        <w:rPr>
          <w:rFonts w:hint="eastAsia" w:eastAsia="宋体"/>
          <w:lang w:val="en-US" w:eastAsia="zh-CN"/>
        </w:rPr>
      </w:pPr>
      <w:r>
        <w:rPr>
          <w:rFonts w:hint="eastAsia" w:ascii="宋体" w:hAnsi="宋体" w:eastAsia="宋体" w:cs="宋体"/>
          <w:b w:val="0"/>
          <w:color w:val="auto"/>
          <w:sz w:val="21"/>
          <w:szCs w:val="21"/>
        </w:rPr>
        <w:t>招标代理服务收费标准</w:t>
      </w:r>
      <w:r>
        <w:rPr>
          <w:rFonts w:hint="eastAsia" w:ascii="宋体" w:hAnsi="宋体" w:cs="宋体"/>
          <w:b w:val="0"/>
          <w:color w:val="auto"/>
          <w:sz w:val="21"/>
          <w:szCs w:val="21"/>
          <w:lang w:eastAsia="zh-CN"/>
        </w:rPr>
        <w:t>：</w:t>
      </w:r>
    </w:p>
    <w:p>
      <w:pPr>
        <w:bidi w:val="0"/>
        <w:rPr>
          <w:rFonts w:hint="eastAsia"/>
          <w:lang w:val="en-US" w:eastAsia="zh-CN"/>
        </w:rPr>
      </w:pPr>
    </w:p>
    <w:tbl>
      <w:tblPr>
        <w:tblStyle w:val="32"/>
        <w:tblpPr w:leftFromText="180" w:rightFromText="180" w:vertAnchor="page" w:horzAnchor="page" w:tblpX="1731" w:tblpY="925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20"/>
        <w:gridCol w:w="221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0" w:type="dxa"/>
            <w:noWrap w:val="0"/>
            <w:vAlign w:val="center"/>
          </w:tcPr>
          <w:p>
            <w:pPr>
              <w:rPr>
                <w:rFonts w:hint="eastAsia" w:ascii="宋体" w:hAnsi="宋体" w:eastAsia="宋体" w:cs="宋体"/>
                <w:b/>
                <w:sz w:val="24"/>
              </w:rPr>
            </w:pPr>
            <w:r>
              <w:rPr>
                <w:rFonts w:hint="eastAsia" w:ascii="宋体" w:hAnsi="宋体" w:eastAsia="宋体" w:cs="宋体"/>
                <w:b/>
                <w:sz w:val="24"/>
              </w:rPr>
              <w:t>服务费类率型</w:t>
            </w:r>
          </w:p>
          <w:p>
            <w:pPr>
              <w:rPr>
                <w:rFonts w:hint="eastAsia" w:ascii="宋体" w:hAnsi="宋体" w:eastAsia="宋体" w:cs="宋体"/>
                <w:b/>
                <w:sz w:val="24"/>
              </w:rPr>
            </w:pPr>
            <w:r>
              <w:rPr>
                <w:rFonts w:hint="eastAsia" w:ascii="宋体" w:hAnsi="宋体" w:eastAsia="宋体" w:cs="宋体"/>
                <w:b/>
                <w:sz w:val="24"/>
              </w:rPr>
              <w:t>中标金额（万元）</w:t>
            </w:r>
          </w:p>
        </w:tc>
        <w:tc>
          <w:tcPr>
            <w:tcW w:w="2220" w:type="dxa"/>
            <w:noWrap w:val="0"/>
            <w:vAlign w:val="center"/>
          </w:tcPr>
          <w:p>
            <w:pPr>
              <w:jc w:val="center"/>
              <w:rPr>
                <w:rFonts w:hint="eastAsia" w:ascii="宋体" w:hAnsi="宋体" w:eastAsia="宋体" w:cs="宋体"/>
                <w:b/>
                <w:sz w:val="24"/>
              </w:rPr>
            </w:pPr>
            <w:r>
              <w:rPr>
                <w:rFonts w:hint="eastAsia" w:ascii="宋体" w:hAnsi="宋体" w:eastAsia="宋体" w:cs="宋体"/>
                <w:b/>
                <w:sz w:val="24"/>
              </w:rPr>
              <w:t>货物招标</w:t>
            </w:r>
          </w:p>
        </w:tc>
        <w:tc>
          <w:tcPr>
            <w:tcW w:w="2218" w:type="dxa"/>
            <w:noWrap w:val="0"/>
            <w:vAlign w:val="center"/>
          </w:tcPr>
          <w:p>
            <w:pPr>
              <w:jc w:val="center"/>
              <w:rPr>
                <w:rFonts w:hint="eastAsia" w:ascii="宋体" w:hAnsi="宋体" w:eastAsia="宋体" w:cs="宋体"/>
                <w:b/>
                <w:sz w:val="24"/>
              </w:rPr>
            </w:pPr>
            <w:r>
              <w:rPr>
                <w:rFonts w:hint="eastAsia" w:ascii="宋体" w:hAnsi="宋体" w:eastAsia="宋体" w:cs="宋体"/>
                <w:b/>
                <w:sz w:val="24"/>
              </w:rPr>
              <w:t>服务招标</w:t>
            </w:r>
          </w:p>
        </w:tc>
        <w:tc>
          <w:tcPr>
            <w:tcW w:w="2221" w:type="dxa"/>
            <w:noWrap w:val="0"/>
            <w:vAlign w:val="center"/>
          </w:tcPr>
          <w:p>
            <w:pPr>
              <w:jc w:val="center"/>
              <w:rPr>
                <w:rFonts w:hint="eastAsia" w:ascii="宋体" w:hAnsi="宋体" w:eastAsia="宋体" w:cs="宋体"/>
                <w:b/>
                <w:sz w:val="24"/>
              </w:rPr>
            </w:pPr>
            <w:r>
              <w:rPr>
                <w:rFonts w:hint="eastAsia" w:ascii="宋体" w:hAnsi="宋体" w:eastAsia="宋体" w:cs="宋体"/>
                <w:b/>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20" w:type="dxa"/>
            <w:noWrap w:val="0"/>
            <w:vAlign w:val="center"/>
          </w:tcPr>
          <w:p>
            <w:pPr>
              <w:rPr>
                <w:rFonts w:hint="eastAsia" w:ascii="宋体" w:hAnsi="宋体" w:eastAsia="宋体" w:cs="宋体"/>
              </w:rPr>
            </w:pPr>
            <w:r>
              <w:rPr>
                <w:rFonts w:hint="eastAsia" w:ascii="宋体" w:hAnsi="宋体" w:eastAsia="宋体" w:cs="宋体"/>
              </w:rPr>
              <w:t>100以下</w:t>
            </w:r>
          </w:p>
        </w:tc>
        <w:tc>
          <w:tcPr>
            <w:tcW w:w="2220" w:type="dxa"/>
            <w:noWrap w:val="0"/>
            <w:vAlign w:val="center"/>
          </w:tcPr>
          <w:p>
            <w:pPr>
              <w:rPr>
                <w:rFonts w:hint="eastAsia" w:ascii="宋体" w:hAnsi="宋体" w:eastAsia="宋体" w:cs="宋体"/>
              </w:rPr>
            </w:pPr>
            <w:r>
              <w:rPr>
                <w:rFonts w:hint="eastAsia" w:ascii="宋体" w:hAnsi="宋体" w:eastAsia="宋体" w:cs="宋体"/>
              </w:rPr>
              <w:t>1.5%</w:t>
            </w:r>
          </w:p>
        </w:tc>
        <w:tc>
          <w:tcPr>
            <w:tcW w:w="2218" w:type="dxa"/>
            <w:noWrap w:val="0"/>
            <w:vAlign w:val="center"/>
          </w:tcPr>
          <w:p>
            <w:pPr>
              <w:rPr>
                <w:rFonts w:hint="eastAsia" w:ascii="宋体" w:hAnsi="宋体" w:eastAsia="宋体" w:cs="宋体"/>
              </w:rPr>
            </w:pPr>
            <w:r>
              <w:rPr>
                <w:rFonts w:hint="eastAsia" w:ascii="宋体" w:hAnsi="宋体" w:eastAsia="宋体" w:cs="宋体"/>
              </w:rPr>
              <w:t>1.5%</w:t>
            </w:r>
          </w:p>
        </w:tc>
        <w:tc>
          <w:tcPr>
            <w:tcW w:w="2221" w:type="dxa"/>
            <w:noWrap w:val="0"/>
            <w:vAlign w:val="center"/>
          </w:tcPr>
          <w:p>
            <w:pPr>
              <w:rPr>
                <w:rFonts w:hint="eastAsia" w:ascii="宋体" w:hAnsi="宋体" w:eastAsia="宋体" w:cs="宋体"/>
              </w:rPr>
            </w:pPr>
            <w:r>
              <w:rPr>
                <w:rFonts w:hint="eastAsia" w:ascii="宋体" w:hAnsi="宋体" w:eastAsia="宋体" w:cs="宋体"/>
              </w:rPr>
              <w:t>1.0%</w:t>
            </w:r>
          </w:p>
        </w:tc>
      </w:tr>
    </w:tbl>
    <w:p>
      <w:pPr>
        <w:pStyle w:val="5"/>
        <w:keepNext w:val="0"/>
        <w:keepLines w:val="0"/>
        <w:widowControl w:val="0"/>
        <w:numPr>
          <w:ilvl w:val="0"/>
          <w:numId w:val="0"/>
        </w:numPr>
        <w:spacing w:before="0" w:after="0"/>
        <w:jc w:val="both"/>
        <w:rPr>
          <w:rFonts w:hint="eastAsia" w:ascii="宋体" w:hAnsi="宋体" w:eastAsia="宋体" w:cs="宋体"/>
          <w:b w:val="0"/>
          <w:color w:val="auto"/>
          <w:sz w:val="21"/>
          <w:szCs w:val="21"/>
        </w:rPr>
      </w:pPr>
    </w:p>
    <w:p>
      <w:pPr>
        <w:pStyle w:val="5"/>
        <w:keepNext w:val="0"/>
        <w:keepLines w:val="0"/>
        <w:widowControl w:val="0"/>
        <w:numPr>
          <w:ilvl w:val="0"/>
          <w:numId w:val="0"/>
        </w:numPr>
        <w:spacing w:before="0" w:after="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34.成交服务费以人民币支付。</w:t>
      </w:r>
    </w:p>
    <w:p>
      <w:pPr>
        <w:pStyle w:val="5"/>
        <w:keepNext w:val="0"/>
        <w:keepLines w:val="0"/>
        <w:widowControl w:val="0"/>
        <w:numPr>
          <w:ilvl w:val="0"/>
          <w:numId w:val="0"/>
        </w:numPr>
        <w:spacing w:before="0" w:after="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35成交服务费支付方式：一次性以电汇、</w:t>
      </w:r>
      <w:r>
        <w:rPr>
          <w:rFonts w:hint="eastAsia" w:ascii="宋体" w:hAnsi="宋体" w:cs="宋体"/>
          <w:b w:val="0"/>
          <w:color w:val="auto"/>
          <w:sz w:val="21"/>
          <w:szCs w:val="21"/>
          <w:lang w:eastAsia="zh-CN"/>
        </w:rPr>
        <w:t>支票</w:t>
      </w:r>
      <w:r>
        <w:rPr>
          <w:rFonts w:hint="eastAsia" w:ascii="宋体" w:hAnsi="宋体" w:eastAsia="宋体" w:cs="宋体"/>
          <w:b w:val="0"/>
          <w:color w:val="auto"/>
          <w:sz w:val="21"/>
          <w:szCs w:val="21"/>
        </w:rPr>
        <w:t>或现金等形式支付。</w:t>
      </w:r>
    </w:p>
    <w:p>
      <w:pPr>
        <w:pStyle w:val="5"/>
        <w:keepNext w:val="0"/>
        <w:keepLines w:val="0"/>
        <w:widowControl w:val="0"/>
        <w:numPr>
          <w:ilvl w:val="0"/>
          <w:numId w:val="0"/>
        </w:numPr>
        <w:spacing w:before="0" w:after="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36.成交服务费不在报价中单列。</w:t>
      </w:r>
    </w:p>
    <w:p>
      <w:pPr>
        <w:bidi w:val="0"/>
      </w:pPr>
      <w:r>
        <w:rPr>
          <w:rFonts w:hint="eastAsia"/>
        </w:rPr>
        <w:br w:type="page"/>
      </w:r>
    </w:p>
    <w:p>
      <w:pPr>
        <w:pStyle w:val="29"/>
        <w:jc w:val="center"/>
        <w:rPr>
          <w:rFonts w:hint="eastAsia" w:ascii="宋体" w:hAnsi="宋体" w:eastAsia="宋体" w:cs="宋体"/>
          <w:color w:val="auto"/>
          <w:kern w:val="44"/>
          <w:highlight w:val="none"/>
        </w:rPr>
      </w:pPr>
      <w:bookmarkStart w:id="15" w:name="_Toc212354383"/>
      <w:r>
        <w:rPr>
          <w:rFonts w:hint="eastAsia" w:ascii="宋体" w:hAnsi="宋体" w:eastAsia="宋体" w:cs="宋体"/>
          <w:color w:val="auto"/>
          <w:kern w:val="44"/>
          <w:highlight w:val="none"/>
        </w:rPr>
        <w:t>第二章  合同范本</w:t>
      </w:r>
    </w:p>
    <w:bookmarkEnd w:id="15"/>
    <w:p>
      <w:pPr>
        <w:jc w:val="center"/>
        <w:rPr>
          <w:rFonts w:ascii="宋体" w:hAnsi="宋体"/>
          <w:b/>
          <w:color w:val="auto"/>
        </w:rPr>
      </w:pPr>
      <w:bookmarkStart w:id="16" w:name="fldWJNR1"/>
      <w:bookmarkEnd w:id="16"/>
    </w:p>
    <w:p>
      <w:pPr>
        <w:jc w:val="center"/>
        <w:rPr>
          <w:rFonts w:hint="eastAsia" w:ascii="宋体" w:hAnsi="宋体" w:eastAsia="宋体"/>
          <w:b/>
          <w:color w:val="auto"/>
          <w:sz w:val="48"/>
          <w:szCs w:val="18"/>
          <w:lang w:val="en-US" w:eastAsia="zh-CN"/>
        </w:rPr>
      </w:pPr>
      <w:r>
        <w:rPr>
          <w:rFonts w:hint="eastAsia" w:ascii="宋体" w:hAnsi="宋体" w:eastAsia="宋体"/>
          <w:b/>
          <w:color w:val="auto"/>
          <w:sz w:val="48"/>
          <w:szCs w:val="18"/>
          <w:lang w:val="en-US" w:eastAsia="zh-CN"/>
        </w:rPr>
        <w:t>2021年罗定市农产品质量安全监督检测站</w:t>
      </w:r>
    </w:p>
    <w:p>
      <w:pPr>
        <w:jc w:val="center"/>
        <w:rPr>
          <w:rFonts w:hint="eastAsia" w:ascii="宋体" w:hAnsi="宋体" w:eastAsia="宋体"/>
          <w:b/>
          <w:color w:val="auto"/>
          <w:sz w:val="48"/>
          <w:szCs w:val="18"/>
          <w:lang w:eastAsia="zh-CN"/>
        </w:rPr>
      </w:pPr>
      <w:r>
        <w:rPr>
          <w:rFonts w:hint="eastAsia" w:ascii="宋体" w:hAnsi="宋体" w:eastAsia="宋体"/>
          <w:b/>
          <w:color w:val="auto"/>
          <w:sz w:val="48"/>
          <w:szCs w:val="18"/>
          <w:lang w:val="en-US" w:eastAsia="zh-CN"/>
        </w:rPr>
        <w:t>仪器设备采购项目</w:t>
      </w:r>
    </w:p>
    <w:p>
      <w:pPr>
        <w:jc w:val="center"/>
        <w:rPr>
          <w:rFonts w:ascii="宋体" w:hAnsi="宋体"/>
          <w:color w:val="auto"/>
          <w:sz w:val="52"/>
        </w:rPr>
      </w:pPr>
    </w:p>
    <w:p>
      <w:pPr>
        <w:jc w:val="center"/>
        <w:rPr>
          <w:rFonts w:ascii="宋体" w:hAnsi="宋体"/>
          <w:color w:val="auto"/>
          <w:sz w:val="52"/>
        </w:rPr>
      </w:pPr>
    </w:p>
    <w:p>
      <w:pPr>
        <w:jc w:val="center"/>
        <w:rPr>
          <w:rFonts w:ascii="黑体" w:hAnsi="宋体" w:eastAsia="黑体"/>
          <w:b/>
          <w:color w:val="auto"/>
          <w:sz w:val="48"/>
        </w:rPr>
      </w:pPr>
      <w:r>
        <w:rPr>
          <w:rFonts w:hint="eastAsia" w:ascii="黑体" w:hAnsi="宋体" w:eastAsia="黑体"/>
          <w:b/>
          <w:color w:val="auto"/>
          <w:sz w:val="48"/>
        </w:rPr>
        <w:t>合  同  书</w:t>
      </w:r>
    </w:p>
    <w:p>
      <w:pPr>
        <w:jc w:val="center"/>
        <w:rPr>
          <w:rFonts w:ascii="宋体" w:hAnsi="宋体"/>
          <w:color w:val="auto"/>
          <w:sz w:val="52"/>
        </w:rPr>
      </w:pPr>
    </w:p>
    <w:p>
      <w:pPr>
        <w:rPr>
          <w:rFonts w:ascii="宋体" w:hAnsi="宋体"/>
          <w:color w:val="auto"/>
          <w:sz w:val="52"/>
        </w:rPr>
      </w:pPr>
    </w:p>
    <w:p>
      <w:pPr>
        <w:spacing w:line="360" w:lineRule="auto"/>
        <w:rPr>
          <w:rFonts w:eastAsia="楷体_GB2312"/>
          <w:b/>
          <w:color w:val="auto"/>
          <w:spacing w:val="-8"/>
          <w:sz w:val="32"/>
          <w:u w:val="single"/>
        </w:rPr>
      </w:pPr>
      <w:r>
        <w:rPr>
          <w:rFonts w:hint="eastAsia" w:ascii="宋体" w:hAnsi="宋体"/>
          <w:color w:val="auto"/>
          <w:sz w:val="32"/>
        </w:rPr>
        <w:t xml:space="preserve">        </w:t>
      </w:r>
      <w:r>
        <w:rPr>
          <w:rFonts w:hint="eastAsia" w:ascii="宋体" w:hAnsi="宋体"/>
          <w:b/>
          <w:color w:val="auto"/>
          <w:sz w:val="32"/>
        </w:rPr>
        <w:t xml:space="preserve"> 项目名称：</w:t>
      </w:r>
      <w:r>
        <w:rPr>
          <w:rFonts w:hint="eastAsia" w:ascii="宋体" w:hAnsi="宋体"/>
          <w:b/>
          <w:color w:val="auto"/>
          <w:sz w:val="32"/>
          <w:u w:val="single"/>
        </w:rPr>
        <w:t xml:space="preserve">                     </w:t>
      </w:r>
    </w:p>
    <w:p>
      <w:pPr>
        <w:tabs>
          <w:tab w:val="left" w:pos="7485"/>
        </w:tabs>
        <w:spacing w:line="360" w:lineRule="auto"/>
        <w:ind w:firstLine="1446" w:firstLineChars="450"/>
        <w:rPr>
          <w:rFonts w:ascii="宋体" w:hAnsi="宋体"/>
          <w:b/>
          <w:color w:val="auto"/>
          <w:sz w:val="32"/>
          <w:u w:val="single"/>
        </w:rPr>
      </w:pPr>
      <w:r>
        <w:rPr>
          <w:rFonts w:hint="eastAsia" w:ascii="宋体" w:hAnsi="宋体"/>
          <w:b/>
          <w:color w:val="auto"/>
          <w:sz w:val="32"/>
        </w:rPr>
        <w:t>合同编号：</w:t>
      </w:r>
      <w:r>
        <w:rPr>
          <w:rFonts w:hint="eastAsia" w:ascii="宋体" w:hAnsi="宋体"/>
          <w:b/>
          <w:color w:val="auto"/>
          <w:sz w:val="32"/>
          <w:u w:val="single"/>
        </w:rPr>
        <w:t xml:space="preserve">                     </w:t>
      </w:r>
    </w:p>
    <w:p>
      <w:pPr>
        <w:tabs>
          <w:tab w:val="left" w:pos="7485"/>
        </w:tabs>
        <w:spacing w:line="360" w:lineRule="auto"/>
        <w:rPr>
          <w:rFonts w:ascii="宋体" w:hAnsi="宋体"/>
          <w:b/>
          <w:color w:val="auto"/>
          <w:sz w:val="32"/>
          <w:u w:val="single"/>
        </w:rPr>
      </w:pPr>
      <w:r>
        <w:rPr>
          <w:rFonts w:hint="eastAsia" w:ascii="宋体" w:hAnsi="宋体"/>
          <w:b/>
          <w:color w:val="auto"/>
          <w:sz w:val="32"/>
        </w:rPr>
        <w:t xml:space="preserve">         签订地点：</w:t>
      </w:r>
      <w:r>
        <w:rPr>
          <w:rFonts w:hint="eastAsia" w:ascii="宋体" w:hAnsi="宋体"/>
          <w:b/>
          <w:color w:val="auto"/>
          <w:sz w:val="32"/>
          <w:u w:val="single"/>
        </w:rPr>
        <w:t xml:space="preserve">                     </w:t>
      </w:r>
    </w:p>
    <w:p>
      <w:pPr>
        <w:ind w:firstLine="1430" w:firstLineChars="445"/>
        <w:rPr>
          <w:rFonts w:ascii="宋体" w:hAnsi="宋体"/>
          <w:color w:val="auto"/>
          <w:sz w:val="32"/>
        </w:rPr>
      </w:pPr>
      <w:r>
        <w:rPr>
          <w:rFonts w:hint="eastAsia" w:ascii="宋体" w:hAnsi="宋体"/>
          <w:b/>
          <w:color w:val="auto"/>
          <w:sz w:val="32"/>
        </w:rPr>
        <w:t>签订日期：二○</w:t>
      </w:r>
      <w:r>
        <w:rPr>
          <w:rFonts w:hint="eastAsia" w:ascii="宋体" w:hAnsi="宋体"/>
          <w:b/>
          <w:color w:val="auto"/>
          <w:sz w:val="32"/>
          <w:lang w:eastAsia="zh-CN"/>
        </w:rPr>
        <w:t>二一</w:t>
      </w:r>
      <w:r>
        <w:rPr>
          <w:rFonts w:hint="eastAsia" w:ascii="宋体" w:hAnsi="宋体"/>
          <w:b/>
          <w:color w:val="auto"/>
          <w:sz w:val="32"/>
        </w:rPr>
        <w:t xml:space="preserve">年   </w:t>
      </w:r>
      <w:r>
        <w:rPr>
          <w:rFonts w:ascii="宋体" w:hAnsi="宋体"/>
          <w:b/>
          <w:color w:val="auto"/>
          <w:sz w:val="32"/>
        </w:rPr>
        <w:t xml:space="preserve"> </w:t>
      </w:r>
      <w:r>
        <w:rPr>
          <w:rFonts w:hint="eastAsia" w:ascii="宋体" w:hAnsi="宋体"/>
          <w:b/>
          <w:color w:val="auto"/>
          <w:sz w:val="32"/>
        </w:rPr>
        <w:t>月    日</w:t>
      </w:r>
    </w:p>
    <w:p>
      <w:pPr>
        <w:adjustRightInd w:val="0"/>
        <w:snapToGrid w:val="0"/>
        <w:spacing w:line="360" w:lineRule="auto"/>
        <w:rPr>
          <w:rFonts w:ascii="宋体" w:hAnsi="宋体" w:cs="宋体"/>
          <w:b/>
          <w:color w:val="auto"/>
          <w:szCs w:val="21"/>
        </w:rPr>
      </w:pPr>
      <w:r>
        <w:rPr>
          <w:rFonts w:ascii="宋体" w:hAnsi="宋体"/>
          <w:color w:val="auto"/>
          <w:sz w:val="32"/>
        </w:rPr>
        <w:br w:type="page"/>
      </w:r>
      <w:r>
        <w:rPr>
          <w:rFonts w:hint="eastAsia" w:ascii="宋体" w:hAnsi="宋体" w:cs="宋体"/>
          <w:b/>
          <w:color w:val="auto"/>
          <w:szCs w:val="21"/>
        </w:rPr>
        <w:t>注：本合同条款仅供参考之用，最终以甲乙双方共同拟定并协商一致的为准。</w:t>
      </w:r>
    </w:p>
    <w:p>
      <w:pPr>
        <w:pStyle w:val="2"/>
        <w:rPr>
          <w:color w:val="auto"/>
        </w:rPr>
      </w:pPr>
    </w:p>
    <w:p>
      <w:pPr>
        <w:tabs>
          <w:tab w:val="left" w:pos="840"/>
        </w:tabs>
        <w:spacing w:line="360" w:lineRule="auto"/>
        <w:ind w:firstLine="660" w:firstLineChars="330"/>
        <w:rPr>
          <w:rFonts w:ascii="宋体" w:hAnsi="宋体" w:cs="宋体"/>
          <w:color w:val="auto"/>
          <w:kern w:val="28"/>
          <w:szCs w:val="21"/>
        </w:rPr>
      </w:pPr>
      <w:r>
        <w:rPr>
          <w:rFonts w:hint="eastAsia" w:ascii="宋体" w:hAnsi="宋体" w:cs="宋体"/>
          <w:i/>
          <w:color w:val="auto"/>
          <w:kern w:val="28"/>
          <w:szCs w:val="21"/>
          <w:u w:val="single"/>
        </w:rPr>
        <w:t xml:space="preserve">                    </w:t>
      </w:r>
      <w:r>
        <w:rPr>
          <w:rFonts w:hint="eastAsia" w:ascii="宋体" w:hAnsi="宋体" w:cs="宋体"/>
          <w:color w:val="auto"/>
          <w:kern w:val="28"/>
          <w:szCs w:val="21"/>
        </w:rPr>
        <w:t>（以下简称买方）</w:t>
      </w:r>
      <w:r>
        <w:rPr>
          <w:rFonts w:hint="eastAsia" w:ascii="宋体" w:hAnsi="宋体" w:cs="宋体"/>
          <w:b/>
          <w:color w:val="auto"/>
          <w:kern w:val="28"/>
          <w:szCs w:val="21"/>
        </w:rPr>
        <w:t>与</w:t>
      </w:r>
      <w:r>
        <w:rPr>
          <w:rFonts w:hint="eastAsia" w:ascii="宋体" w:hAnsi="宋体" w:cs="宋体"/>
          <w:i/>
          <w:color w:val="auto"/>
          <w:kern w:val="28"/>
          <w:szCs w:val="21"/>
          <w:u w:val="single"/>
        </w:rPr>
        <w:t xml:space="preserve">                      </w:t>
      </w:r>
      <w:r>
        <w:rPr>
          <w:rFonts w:hint="eastAsia" w:ascii="宋体" w:hAnsi="宋体" w:cs="宋体"/>
          <w:color w:val="auto"/>
          <w:kern w:val="28"/>
          <w:szCs w:val="21"/>
        </w:rPr>
        <w:t>（以下简称卖方）就卖方向</w:t>
      </w:r>
      <w:r>
        <w:rPr>
          <w:rFonts w:hint="eastAsia" w:ascii="宋体" w:hAnsi="宋体" w:cs="宋体"/>
          <w:color w:val="auto"/>
          <w:szCs w:val="21"/>
        </w:rPr>
        <w:t>买方</w:t>
      </w:r>
      <w:r>
        <w:rPr>
          <w:rFonts w:hint="eastAsia" w:ascii="宋体" w:hAnsi="宋体" w:cs="宋体"/>
          <w:color w:val="auto"/>
          <w:kern w:val="28"/>
          <w:szCs w:val="21"/>
        </w:rPr>
        <w:t>提供</w:t>
      </w:r>
      <w:r>
        <w:rPr>
          <w:rFonts w:hint="eastAsia" w:ascii="宋体" w:hAnsi="宋体" w:cs="宋体"/>
          <w:i/>
          <w:color w:val="auto"/>
          <w:kern w:val="28"/>
          <w:szCs w:val="21"/>
          <w:u w:val="single"/>
        </w:rPr>
        <w:t xml:space="preserve">            </w:t>
      </w:r>
      <w:r>
        <w:rPr>
          <w:rFonts w:hint="eastAsia" w:ascii="宋体" w:hAnsi="宋体" w:cs="宋体"/>
          <w:color w:val="auto"/>
          <w:kern w:val="28"/>
          <w:szCs w:val="21"/>
        </w:rPr>
        <w:t>的供货及相关服务，经买卖双方协商一致，签订本合同，共同遵守如下条款：</w:t>
      </w:r>
    </w:p>
    <w:p>
      <w:pPr>
        <w:spacing w:line="360" w:lineRule="auto"/>
        <w:outlineLvl w:val="0"/>
        <w:rPr>
          <w:rFonts w:ascii="宋体" w:hAnsi="宋体" w:cs="宋体"/>
          <w:b/>
          <w:color w:val="auto"/>
          <w:szCs w:val="21"/>
        </w:rPr>
      </w:pPr>
      <w:r>
        <w:rPr>
          <w:rFonts w:hint="eastAsia" w:ascii="宋体" w:hAnsi="宋体" w:cs="宋体"/>
          <w:b/>
          <w:color w:val="auto"/>
          <w:szCs w:val="21"/>
        </w:rPr>
        <w:t>一、合同标的</w:t>
      </w:r>
    </w:p>
    <w:p>
      <w:pPr>
        <w:numPr>
          <w:ilvl w:val="0"/>
          <w:numId w:val="4"/>
        </w:numPr>
        <w:spacing w:line="360" w:lineRule="auto"/>
        <w:rPr>
          <w:rFonts w:ascii="宋体" w:hAnsi="宋体" w:cs="宋体"/>
          <w:color w:val="auto"/>
          <w:szCs w:val="21"/>
        </w:rPr>
      </w:pPr>
      <w:r>
        <w:rPr>
          <w:rFonts w:hint="eastAsia" w:ascii="宋体" w:hAnsi="宋体" w:cs="宋体"/>
          <w:color w:val="auto"/>
          <w:szCs w:val="21"/>
        </w:rPr>
        <w:t>本合同标的为</w:t>
      </w:r>
      <w:r>
        <w:rPr>
          <w:rFonts w:hint="eastAsia" w:ascii="宋体" w:hAnsi="宋体" w:cs="宋体"/>
          <w:color w:val="auto"/>
          <w:szCs w:val="21"/>
          <w:u w:val="single"/>
        </w:rPr>
        <w:t xml:space="preserve">             </w:t>
      </w:r>
      <w:r>
        <w:rPr>
          <w:rFonts w:hint="eastAsia" w:ascii="宋体" w:hAnsi="宋体" w:cs="宋体"/>
          <w:color w:val="auto"/>
          <w:szCs w:val="21"/>
        </w:rPr>
        <w:t>，包括研发、货物供货、检测、培训、验收、技术服务（包括技术资料）、质保期保障等的全部内容。</w:t>
      </w:r>
    </w:p>
    <w:p>
      <w:pPr>
        <w:pStyle w:val="18"/>
        <w:spacing w:before="120"/>
        <w:rPr>
          <w:rFonts w:hAnsi="宋体" w:cs="宋体"/>
          <w:b/>
          <w:color w:val="auto"/>
          <w:sz w:val="21"/>
          <w:szCs w:val="21"/>
        </w:rPr>
      </w:pPr>
      <w:r>
        <w:rPr>
          <w:rFonts w:hint="eastAsia" w:hAnsi="宋体" w:cs="宋体"/>
          <w:b/>
          <w:color w:val="auto"/>
          <w:sz w:val="21"/>
          <w:szCs w:val="21"/>
        </w:rPr>
        <w:t>具体的供货范围、技术规格详见合同附件</w:t>
      </w:r>
      <w:r>
        <w:rPr>
          <w:rFonts w:hint="eastAsia" w:hAnsi="宋体" w:cs="宋体"/>
          <w:b/>
          <w:color w:val="auto"/>
          <w:sz w:val="21"/>
          <w:szCs w:val="21"/>
          <w:u w:val="single"/>
        </w:rPr>
        <w:t xml:space="preserve">               </w:t>
      </w:r>
      <w:r>
        <w:rPr>
          <w:rFonts w:hint="eastAsia" w:hAnsi="宋体" w:cs="宋体"/>
          <w:b/>
          <w:color w:val="auto"/>
          <w:sz w:val="21"/>
          <w:szCs w:val="21"/>
        </w:rPr>
        <w:t>。</w:t>
      </w:r>
    </w:p>
    <w:p>
      <w:pPr>
        <w:numPr>
          <w:ilvl w:val="0"/>
          <w:numId w:val="4"/>
        </w:numPr>
        <w:spacing w:line="360" w:lineRule="auto"/>
        <w:jc w:val="both"/>
        <w:rPr>
          <w:rFonts w:ascii="宋体" w:hAnsi="宋体" w:cs="宋体"/>
          <w:color w:val="auto"/>
          <w:szCs w:val="21"/>
        </w:rPr>
      </w:pPr>
      <w:r>
        <w:rPr>
          <w:rFonts w:hint="eastAsia" w:ascii="宋体" w:hAnsi="宋体" w:cs="宋体"/>
          <w:color w:val="auto"/>
          <w:szCs w:val="21"/>
        </w:rPr>
        <w:t>卖方应对本合同项下其承担的全部工作实施有效管理，以确保实施进度符合合同附件</w:t>
      </w:r>
      <w:r>
        <w:rPr>
          <w:rFonts w:hint="eastAsia" w:ascii="宋体" w:hAnsi="宋体" w:cs="宋体"/>
          <w:color w:val="auto"/>
          <w:szCs w:val="21"/>
          <w:u w:val="single"/>
        </w:rPr>
        <w:t xml:space="preserve">   </w:t>
      </w:r>
      <w:r>
        <w:rPr>
          <w:rFonts w:hint="eastAsia" w:ascii="宋体" w:hAnsi="宋体" w:cs="宋体"/>
          <w:color w:val="auto"/>
          <w:szCs w:val="21"/>
        </w:rPr>
        <w:t>的要求。</w:t>
      </w:r>
    </w:p>
    <w:p>
      <w:pPr>
        <w:spacing w:line="360" w:lineRule="auto"/>
        <w:jc w:val="both"/>
        <w:outlineLvl w:val="0"/>
        <w:rPr>
          <w:rFonts w:ascii="宋体" w:hAnsi="宋体" w:cs="宋体"/>
          <w:b/>
          <w:color w:val="auto"/>
          <w:szCs w:val="21"/>
        </w:rPr>
      </w:pPr>
      <w:r>
        <w:rPr>
          <w:rFonts w:hint="eastAsia" w:ascii="宋体" w:hAnsi="宋体" w:cs="宋体"/>
          <w:b/>
          <w:color w:val="auto"/>
          <w:szCs w:val="21"/>
        </w:rPr>
        <w:t>二、价格</w:t>
      </w:r>
    </w:p>
    <w:p>
      <w:pPr>
        <w:numPr>
          <w:ilvl w:val="1"/>
          <w:numId w:val="5"/>
        </w:numPr>
        <w:tabs>
          <w:tab w:val="left" w:pos="720"/>
          <w:tab w:val="clear" w:pos="1050"/>
        </w:tabs>
        <w:spacing w:line="360" w:lineRule="auto"/>
        <w:ind w:left="720" w:hanging="720"/>
        <w:jc w:val="both"/>
        <w:rPr>
          <w:rFonts w:ascii="宋体" w:hAnsi="宋体" w:cs="宋体"/>
          <w:color w:val="auto"/>
          <w:szCs w:val="21"/>
        </w:rPr>
      </w:pPr>
      <w:r>
        <w:rPr>
          <w:rFonts w:hint="eastAsia" w:ascii="宋体" w:hAnsi="宋体" w:cs="宋体"/>
          <w:color w:val="auto"/>
          <w:szCs w:val="21"/>
        </w:rPr>
        <w:t>合同总价：</w:t>
      </w:r>
    </w:p>
    <w:p>
      <w:pPr>
        <w:spacing w:line="360" w:lineRule="auto"/>
        <w:ind w:firstLine="900"/>
        <w:jc w:val="both"/>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color w:val="auto"/>
          <w:szCs w:val="21"/>
        </w:rPr>
        <w:t>。（价格明细清单见合同附件）</w:t>
      </w:r>
    </w:p>
    <w:p>
      <w:pPr>
        <w:spacing w:line="360" w:lineRule="auto"/>
        <w:ind w:left="630"/>
        <w:jc w:val="both"/>
        <w:rPr>
          <w:rFonts w:ascii="宋体" w:hAnsi="宋体" w:cs="宋体"/>
          <w:color w:val="auto"/>
          <w:szCs w:val="21"/>
        </w:rPr>
      </w:pPr>
      <w:r>
        <w:rPr>
          <w:rFonts w:hint="eastAsia" w:ascii="宋体" w:hAnsi="宋体" w:cs="宋体"/>
          <w:color w:val="auto"/>
          <w:szCs w:val="21"/>
        </w:rPr>
        <w:t>其中：（1）</w:t>
      </w:r>
      <w:r>
        <w:rPr>
          <w:rFonts w:hint="eastAsia" w:ascii="宋体" w:hAnsi="宋体" w:cs="宋体"/>
          <w:b/>
          <w:color w:val="auto"/>
          <w:szCs w:val="21"/>
        </w:rPr>
        <w:t>货物总价：</w:t>
      </w:r>
    </w:p>
    <w:p>
      <w:pPr>
        <w:spacing w:line="360" w:lineRule="auto"/>
        <w:ind w:left="168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i/>
          <w:color w:val="auto"/>
          <w:szCs w:val="21"/>
          <w:u w:val="single"/>
        </w:rPr>
        <w:t xml:space="preserve">                         </w:t>
      </w:r>
      <w:r>
        <w:rPr>
          <w:rFonts w:hint="eastAsia" w:ascii="宋体" w:hAnsi="宋体" w:cs="宋体"/>
          <w:i/>
          <w:color w:val="auto"/>
          <w:szCs w:val="21"/>
        </w:rPr>
        <w:t>）；</w:t>
      </w:r>
    </w:p>
    <w:p>
      <w:pPr>
        <w:spacing w:line="360" w:lineRule="auto"/>
        <w:ind w:firstLine="1200" w:firstLineChars="600"/>
        <w:jc w:val="both"/>
        <w:rPr>
          <w:rFonts w:ascii="宋体" w:hAnsi="宋体" w:cs="宋体"/>
          <w:b/>
          <w:color w:val="auto"/>
          <w:szCs w:val="21"/>
        </w:rPr>
      </w:pPr>
      <w:r>
        <w:rPr>
          <w:rFonts w:hint="eastAsia" w:ascii="宋体" w:hAnsi="宋体" w:cs="宋体"/>
          <w:color w:val="auto"/>
          <w:szCs w:val="21"/>
        </w:rPr>
        <w:t>（2）</w:t>
      </w:r>
      <w:r>
        <w:rPr>
          <w:rFonts w:hint="eastAsia" w:ascii="宋体" w:hAnsi="宋体" w:cs="宋体"/>
          <w:b/>
          <w:color w:val="auto"/>
          <w:szCs w:val="21"/>
        </w:rPr>
        <w:t>到达交货目的地的运杂费、保险费用：</w:t>
      </w:r>
    </w:p>
    <w:p>
      <w:pPr>
        <w:spacing w:line="360" w:lineRule="auto"/>
        <w:ind w:left="168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color w:val="auto"/>
          <w:szCs w:val="21"/>
        </w:rPr>
        <w:t>；</w:t>
      </w:r>
    </w:p>
    <w:p>
      <w:pPr>
        <w:spacing w:line="360" w:lineRule="auto"/>
        <w:ind w:left="1155" w:firstLine="105"/>
        <w:jc w:val="both"/>
        <w:rPr>
          <w:rFonts w:ascii="宋体" w:hAnsi="宋体" w:cs="宋体"/>
          <w:color w:val="auto"/>
          <w:szCs w:val="21"/>
        </w:rPr>
      </w:pPr>
      <w:r>
        <w:rPr>
          <w:rFonts w:hint="eastAsia" w:ascii="宋体" w:hAnsi="宋体" w:cs="宋体"/>
          <w:color w:val="auto"/>
          <w:szCs w:val="21"/>
        </w:rPr>
        <w:t>（3）</w:t>
      </w:r>
      <w:r>
        <w:rPr>
          <w:rFonts w:hint="eastAsia" w:ascii="宋体" w:hAnsi="宋体" w:cs="宋体"/>
          <w:b/>
          <w:color w:val="auto"/>
          <w:szCs w:val="21"/>
        </w:rPr>
        <w:t>其它服务费用：</w:t>
      </w:r>
    </w:p>
    <w:p>
      <w:pPr>
        <w:spacing w:line="360" w:lineRule="auto"/>
        <w:ind w:left="168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i/>
          <w:color w:val="auto"/>
          <w:szCs w:val="21"/>
        </w:rPr>
        <w:t>）</w:t>
      </w:r>
      <w:r>
        <w:rPr>
          <w:rFonts w:hint="eastAsia" w:ascii="宋体" w:hAnsi="宋体" w:cs="宋体"/>
          <w:i/>
          <w:color w:val="auto"/>
          <w:szCs w:val="21"/>
          <w:u w:val="single"/>
        </w:rPr>
        <w:t xml:space="preserve">                        </w:t>
      </w:r>
      <w:r>
        <w:rPr>
          <w:rFonts w:hint="eastAsia" w:ascii="宋体" w:hAnsi="宋体" w:cs="宋体"/>
          <w:i/>
          <w:color w:val="auto"/>
          <w:szCs w:val="21"/>
        </w:rPr>
        <w:t>（￥</w:t>
      </w:r>
      <w:r>
        <w:rPr>
          <w:rFonts w:hint="eastAsia" w:ascii="宋体" w:hAnsi="宋体" w:cs="宋体"/>
          <w:i/>
          <w:color w:val="auto"/>
          <w:szCs w:val="21"/>
          <w:u w:val="single"/>
        </w:rPr>
        <w:t xml:space="preserve">                         </w:t>
      </w:r>
      <w:r>
        <w:rPr>
          <w:rFonts w:hint="eastAsia" w:ascii="宋体" w:hAnsi="宋体" w:cs="宋体"/>
          <w:i/>
          <w:color w:val="auto"/>
          <w:szCs w:val="21"/>
        </w:rPr>
        <w:t>）。</w:t>
      </w:r>
    </w:p>
    <w:p>
      <w:pPr>
        <w:pStyle w:val="16"/>
        <w:numPr>
          <w:ilvl w:val="0"/>
          <w:numId w:val="6"/>
        </w:numPr>
        <w:spacing w:line="360" w:lineRule="auto"/>
        <w:rPr>
          <w:rFonts w:hAnsi="宋体" w:cs="宋体"/>
          <w:color w:val="auto"/>
          <w:szCs w:val="21"/>
        </w:rPr>
      </w:pPr>
      <w:r>
        <w:rPr>
          <w:rFonts w:hint="eastAsia" w:hAnsi="宋体" w:cs="宋体"/>
          <w:color w:val="auto"/>
          <w:szCs w:val="21"/>
        </w:rPr>
        <w:t>合同总价包括了货物的研发、生产、包装、仓储、运输、保险以及卖方进行验收、培训、技术服务（包括技术资料）、保障服务等的全部含税费用。</w:t>
      </w:r>
    </w:p>
    <w:p>
      <w:pPr>
        <w:numPr>
          <w:ilvl w:val="0"/>
          <w:numId w:val="6"/>
        </w:numPr>
        <w:spacing w:line="360" w:lineRule="auto"/>
        <w:jc w:val="both"/>
        <w:rPr>
          <w:rFonts w:ascii="宋体" w:hAnsi="宋体" w:cs="宋体"/>
          <w:color w:val="auto"/>
          <w:szCs w:val="21"/>
        </w:rPr>
      </w:pPr>
      <w:r>
        <w:rPr>
          <w:rFonts w:hint="eastAsia" w:ascii="宋体" w:hAnsi="宋体" w:cs="宋体"/>
          <w:color w:val="auto"/>
          <w:szCs w:val="21"/>
        </w:rPr>
        <w:t>本合同价格为固定不变价。</w:t>
      </w:r>
    </w:p>
    <w:p>
      <w:pPr>
        <w:numPr>
          <w:ilvl w:val="0"/>
          <w:numId w:val="6"/>
        </w:numPr>
        <w:spacing w:line="360" w:lineRule="auto"/>
        <w:jc w:val="both"/>
        <w:rPr>
          <w:rFonts w:ascii="宋体" w:hAnsi="宋体" w:cs="宋体"/>
          <w:color w:val="auto"/>
          <w:szCs w:val="21"/>
        </w:rPr>
      </w:pPr>
      <w:r>
        <w:rPr>
          <w:rFonts w:hint="eastAsia" w:ascii="宋体" w:hAnsi="宋体" w:cs="宋体"/>
          <w:color w:val="auto"/>
          <w:szCs w:val="21"/>
        </w:rPr>
        <w:t>如果单价和数量的乘积与总价不一致时，以单价为准并修正总价。</w:t>
      </w:r>
    </w:p>
    <w:p>
      <w:pPr>
        <w:spacing w:line="360" w:lineRule="auto"/>
        <w:ind w:left="600" w:hanging="600"/>
        <w:jc w:val="both"/>
        <w:outlineLvl w:val="0"/>
        <w:rPr>
          <w:rFonts w:ascii="宋体" w:hAnsi="宋体" w:cs="宋体"/>
          <w:b/>
          <w:color w:val="auto"/>
          <w:szCs w:val="21"/>
        </w:rPr>
      </w:pPr>
      <w:r>
        <w:rPr>
          <w:rFonts w:hint="eastAsia" w:ascii="宋体" w:hAnsi="宋体" w:cs="宋体"/>
          <w:b/>
          <w:color w:val="auto"/>
          <w:szCs w:val="21"/>
        </w:rPr>
        <w:t>三、货物产地及标准</w:t>
      </w:r>
    </w:p>
    <w:p>
      <w:pPr>
        <w:numPr>
          <w:ilvl w:val="1"/>
          <w:numId w:val="7"/>
        </w:numPr>
        <w:tabs>
          <w:tab w:val="left" w:pos="540"/>
          <w:tab w:val="clear" w:pos="1050"/>
        </w:tabs>
        <w:spacing w:line="360" w:lineRule="auto"/>
        <w:ind w:left="360" w:hanging="360"/>
        <w:jc w:val="both"/>
        <w:rPr>
          <w:rFonts w:ascii="宋体" w:hAnsi="宋体" w:cs="宋体"/>
          <w:color w:val="auto"/>
          <w:szCs w:val="21"/>
        </w:rPr>
      </w:pPr>
      <w:r>
        <w:rPr>
          <w:rFonts w:hint="eastAsia" w:ascii="宋体" w:hAnsi="宋体" w:cs="宋体"/>
          <w:color w:val="auto"/>
          <w:szCs w:val="21"/>
        </w:rPr>
        <w:t>货物为</w:t>
      </w:r>
      <w:r>
        <w:rPr>
          <w:rFonts w:hint="eastAsia" w:ascii="宋体" w:hAnsi="宋体" w:cs="宋体"/>
          <w:i/>
          <w:color w:val="auto"/>
          <w:szCs w:val="21"/>
          <w:u w:val="single"/>
        </w:rPr>
        <w:t>（填写</w:t>
      </w:r>
      <w:r>
        <w:rPr>
          <w:rFonts w:hint="eastAsia" w:ascii="宋体" w:hAnsi="宋体" w:cs="宋体"/>
          <w:b/>
          <w:i/>
          <w:color w:val="auto"/>
          <w:szCs w:val="21"/>
          <w:u w:val="single"/>
        </w:rPr>
        <w:t>生产</w:t>
      </w:r>
      <w:r>
        <w:rPr>
          <w:rFonts w:hint="eastAsia" w:ascii="宋体" w:hAnsi="宋体" w:cs="宋体"/>
          <w:i/>
          <w:color w:val="auto"/>
          <w:szCs w:val="21"/>
          <w:u w:val="single"/>
        </w:rPr>
        <w:t>厂商名称）</w:t>
      </w:r>
      <w:r>
        <w:rPr>
          <w:rFonts w:hint="eastAsia" w:ascii="宋体" w:hAnsi="宋体" w:cs="宋体"/>
          <w:color w:val="auto"/>
          <w:szCs w:val="21"/>
        </w:rPr>
        <w:t>全新的（原装）产品。</w:t>
      </w:r>
    </w:p>
    <w:p>
      <w:pPr>
        <w:numPr>
          <w:ilvl w:val="1"/>
          <w:numId w:val="7"/>
        </w:numPr>
        <w:tabs>
          <w:tab w:val="left" w:pos="540"/>
          <w:tab w:val="clear" w:pos="1050"/>
        </w:tabs>
        <w:spacing w:line="360" w:lineRule="auto"/>
        <w:ind w:left="360" w:hanging="360"/>
        <w:jc w:val="both"/>
        <w:rPr>
          <w:rFonts w:ascii="宋体" w:hAnsi="宋体" w:cs="宋体"/>
          <w:color w:val="auto"/>
          <w:szCs w:val="21"/>
        </w:rPr>
      </w:pPr>
      <w:r>
        <w:rPr>
          <w:rFonts w:hint="eastAsia" w:ascii="宋体" w:hAnsi="宋体" w:cs="宋体"/>
          <w:color w:val="auto"/>
          <w:szCs w:val="21"/>
        </w:rPr>
        <w:t>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360" w:lineRule="auto"/>
        <w:ind w:left="700" w:hanging="700"/>
        <w:jc w:val="both"/>
        <w:outlineLvl w:val="0"/>
        <w:rPr>
          <w:rFonts w:ascii="宋体" w:hAnsi="宋体" w:cs="宋体"/>
          <w:b/>
          <w:color w:val="auto"/>
          <w:szCs w:val="21"/>
        </w:rPr>
      </w:pPr>
      <w:r>
        <w:rPr>
          <w:rFonts w:hint="eastAsia" w:ascii="宋体" w:hAnsi="宋体" w:cs="宋体"/>
          <w:b/>
          <w:color w:val="auto"/>
          <w:szCs w:val="21"/>
        </w:rPr>
        <w:t>四、到货时间、地点</w:t>
      </w:r>
    </w:p>
    <w:p>
      <w:pPr>
        <w:numPr>
          <w:ilvl w:val="0"/>
          <w:numId w:val="8"/>
        </w:numPr>
        <w:tabs>
          <w:tab w:val="left" w:pos="540"/>
          <w:tab w:val="clear" w:pos="840"/>
        </w:tabs>
        <w:spacing w:line="360" w:lineRule="auto"/>
        <w:ind w:left="840" w:leftChars="0" w:hanging="840" w:firstLineChars="0"/>
        <w:jc w:val="both"/>
        <w:rPr>
          <w:rFonts w:hint="eastAsia" w:ascii="宋体" w:hAnsi="宋体" w:cs="宋体"/>
          <w:color w:val="auto"/>
          <w:szCs w:val="21"/>
        </w:rPr>
      </w:pPr>
      <w:r>
        <w:rPr>
          <w:rFonts w:hint="eastAsia" w:ascii="宋体" w:hAnsi="宋体" w:cs="宋体"/>
          <w:color w:val="auto"/>
          <w:szCs w:val="21"/>
        </w:rPr>
        <w:t>交货地点：采购人指定地点。</w:t>
      </w:r>
    </w:p>
    <w:p>
      <w:pPr>
        <w:numPr>
          <w:ilvl w:val="0"/>
          <w:numId w:val="8"/>
        </w:numPr>
        <w:tabs>
          <w:tab w:val="left" w:pos="540"/>
          <w:tab w:val="clear" w:pos="840"/>
        </w:tabs>
        <w:spacing w:line="360" w:lineRule="auto"/>
        <w:ind w:left="840" w:leftChars="0" w:hanging="840" w:firstLineChars="0"/>
        <w:jc w:val="both"/>
        <w:rPr>
          <w:rFonts w:hint="eastAsia" w:ascii="宋体" w:hAnsi="宋体" w:cs="宋体"/>
          <w:color w:val="auto"/>
          <w:szCs w:val="21"/>
        </w:rPr>
      </w:pPr>
      <w:r>
        <w:rPr>
          <w:rFonts w:hint="eastAsia" w:ascii="宋体" w:hAnsi="宋体" w:cs="宋体"/>
          <w:color w:val="auto"/>
          <w:szCs w:val="21"/>
        </w:rPr>
        <w:t>交货</w:t>
      </w:r>
      <w:r>
        <w:rPr>
          <w:rFonts w:hint="eastAsia" w:ascii="宋体" w:hAnsi="宋体" w:cs="宋体"/>
          <w:color w:val="auto"/>
          <w:szCs w:val="21"/>
          <w:lang w:eastAsia="zh-CN"/>
        </w:rPr>
        <w:t>时间</w:t>
      </w:r>
      <w:r>
        <w:rPr>
          <w:rFonts w:hint="eastAsia" w:ascii="宋体" w:hAnsi="宋体" w:cs="宋体"/>
          <w:color w:val="auto"/>
          <w:szCs w:val="21"/>
        </w:rPr>
        <w:t>：在合同签订生效起</w:t>
      </w:r>
      <w:r>
        <w:rPr>
          <w:rFonts w:hint="eastAsia" w:ascii="宋体" w:hAnsi="宋体" w:cs="宋体"/>
          <w:color w:val="auto"/>
          <w:szCs w:val="21"/>
          <w:lang w:val="en-US" w:eastAsia="zh-CN"/>
        </w:rPr>
        <w:t>5</w:t>
      </w:r>
      <w:r>
        <w:rPr>
          <w:rFonts w:hint="eastAsia" w:ascii="宋体" w:hAnsi="宋体" w:cs="宋体"/>
          <w:color w:val="auto"/>
          <w:szCs w:val="21"/>
        </w:rPr>
        <w:t>0天内完成交货安装及调试，并提交项目验收报告。</w:t>
      </w:r>
    </w:p>
    <w:p>
      <w:pPr>
        <w:numPr>
          <w:ilvl w:val="0"/>
          <w:numId w:val="0"/>
        </w:numPr>
        <w:spacing w:line="480" w:lineRule="exact"/>
        <w:outlineLvl w:val="0"/>
        <w:rPr>
          <w:rFonts w:ascii="宋体" w:hAnsi="宋体" w:cs="宋体"/>
          <w:b/>
          <w:bCs/>
          <w:color w:val="auto"/>
          <w:szCs w:val="21"/>
        </w:rPr>
      </w:pPr>
      <w:r>
        <w:rPr>
          <w:rFonts w:hint="eastAsia" w:ascii="宋体" w:hAnsi="宋体" w:cs="宋体"/>
          <w:b/>
          <w:bCs/>
          <w:color w:val="auto"/>
          <w:szCs w:val="21"/>
        </w:rPr>
        <w:t>五、付款方式</w:t>
      </w:r>
    </w:p>
    <w:p>
      <w:pPr>
        <w:numPr>
          <w:ilvl w:val="0"/>
          <w:numId w:val="9"/>
        </w:numPr>
        <w:tabs>
          <w:tab w:val="left" w:pos="425"/>
          <w:tab w:val="left" w:pos="824"/>
        </w:tabs>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采购人在完成仪器设备安装、调试及验收合格后，在收到中标人的付款申请及齐全的申请凭证后，于十五个工作日内按照政府采购支付流程办理付款申请，因采购人使用的是财政资金，在规定时间内提出支付申请手续后即视为采购人已经按期支付。</w:t>
      </w:r>
    </w:p>
    <w:p>
      <w:pPr>
        <w:numPr>
          <w:ilvl w:val="0"/>
          <w:numId w:val="9"/>
        </w:numPr>
        <w:tabs>
          <w:tab w:val="left" w:pos="425"/>
          <w:tab w:val="left" w:pos="824"/>
        </w:tabs>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中标人在提出付款申请时，必须提供由中标人开具的正式合法发票。</w:t>
      </w:r>
    </w:p>
    <w:p>
      <w:pPr>
        <w:tabs>
          <w:tab w:val="left" w:pos="824"/>
        </w:tabs>
        <w:spacing w:line="360" w:lineRule="auto"/>
        <w:ind w:left="525" w:hanging="525"/>
        <w:jc w:val="both"/>
        <w:outlineLvl w:val="0"/>
        <w:rPr>
          <w:rFonts w:ascii="宋体" w:hAnsi="宋体" w:cs="宋体"/>
          <w:b/>
          <w:color w:val="auto"/>
          <w:szCs w:val="21"/>
        </w:rPr>
      </w:pPr>
      <w:r>
        <w:rPr>
          <w:rFonts w:hint="eastAsia" w:ascii="宋体" w:hAnsi="宋体" w:cs="宋体"/>
          <w:b/>
          <w:color w:val="auto"/>
          <w:szCs w:val="21"/>
        </w:rPr>
        <w:t>六、保密</w:t>
      </w:r>
    </w:p>
    <w:p>
      <w:pPr>
        <w:numPr>
          <w:ilvl w:val="0"/>
          <w:numId w:val="0"/>
        </w:numPr>
        <w:tabs>
          <w:tab w:val="left" w:pos="425"/>
          <w:tab w:val="left" w:pos="824"/>
        </w:tabs>
        <w:spacing w:line="360" w:lineRule="auto"/>
        <w:ind w:leftChars="0"/>
        <w:jc w:val="both"/>
        <w:rPr>
          <w:rFonts w:ascii="宋体" w:hAnsi="宋体" w:cs="宋体"/>
          <w:color w:val="auto"/>
          <w:szCs w:val="21"/>
        </w:rPr>
      </w:pPr>
      <w:r>
        <w:rPr>
          <w:rFonts w:hint="eastAsia" w:ascii="宋体" w:hAnsi="宋体" w:cs="宋体"/>
          <w:color w:val="auto"/>
          <w:szCs w:val="21"/>
          <w:lang w:val="en-US" w:eastAsia="zh-CN"/>
        </w:rPr>
        <w:t xml:space="preserve">1.  </w:t>
      </w:r>
      <w:r>
        <w:rPr>
          <w:rFonts w:hint="eastAsia" w:ascii="宋体" w:hAnsi="宋体" w:cs="宋体"/>
          <w:color w:val="auto"/>
          <w:szCs w:val="21"/>
        </w:rPr>
        <w:t>未经买方事先书面同意，卖方不得将由买方为本合同提供的条文、规格、计划、资料提供给与本合同无关的任何第三方，不得将其用于履行本合同之外的其它用途。即使向与履行本合同有关的人员提供，也应注意保密并限于履行合同所必需的范围。</w:t>
      </w:r>
    </w:p>
    <w:p>
      <w:pPr>
        <w:numPr>
          <w:ilvl w:val="0"/>
          <w:numId w:val="0"/>
        </w:numPr>
        <w:tabs>
          <w:tab w:val="left" w:pos="425"/>
          <w:tab w:val="left" w:pos="824"/>
        </w:tabs>
        <w:spacing w:line="360" w:lineRule="auto"/>
        <w:ind w:leftChars="0"/>
        <w:jc w:val="both"/>
        <w:rPr>
          <w:rFonts w:ascii="宋体" w:hAnsi="宋体" w:cs="宋体"/>
          <w:color w:val="auto"/>
          <w:szCs w:val="21"/>
        </w:rPr>
      </w:pPr>
      <w:r>
        <w:rPr>
          <w:rFonts w:hint="eastAsia" w:ascii="宋体" w:hAnsi="宋体" w:cs="宋体"/>
          <w:color w:val="auto"/>
          <w:szCs w:val="21"/>
          <w:lang w:val="en-US" w:eastAsia="zh-CN"/>
        </w:rPr>
        <w:t xml:space="preserve">2.  </w:t>
      </w:r>
      <w:r>
        <w:rPr>
          <w:rFonts w:hint="eastAsia" w:ascii="宋体" w:hAnsi="宋体" w:cs="宋体"/>
          <w:color w:val="auto"/>
          <w:szCs w:val="21"/>
        </w:rPr>
        <w:t>除了合同本身之外，上款所列举的任何物件均是买方的财产。如果买方有要求，卖方在完成合同后应将这些物件及全部复制件还给买方。</w:t>
      </w:r>
    </w:p>
    <w:p>
      <w:pPr>
        <w:spacing w:line="360" w:lineRule="auto"/>
        <w:ind w:left="525" w:hanging="525"/>
        <w:jc w:val="both"/>
        <w:outlineLvl w:val="0"/>
        <w:rPr>
          <w:rFonts w:ascii="宋体" w:hAnsi="宋体" w:cs="宋体"/>
          <w:b/>
          <w:color w:val="auto"/>
          <w:szCs w:val="21"/>
        </w:rPr>
      </w:pPr>
      <w:r>
        <w:rPr>
          <w:rFonts w:hint="eastAsia" w:ascii="宋体" w:hAnsi="宋体" w:cs="宋体"/>
          <w:b/>
          <w:color w:val="auto"/>
          <w:szCs w:val="21"/>
        </w:rPr>
        <w:t>七、技术文件</w:t>
      </w:r>
    </w:p>
    <w:p>
      <w:pPr>
        <w:numPr>
          <w:ilvl w:val="0"/>
          <w:numId w:val="10"/>
        </w:numPr>
        <w:tabs>
          <w:tab w:val="left" w:pos="824"/>
        </w:tabs>
        <w:spacing w:line="360" w:lineRule="auto"/>
        <w:jc w:val="both"/>
        <w:rPr>
          <w:rFonts w:ascii="宋体" w:hAnsi="宋体" w:cs="宋体"/>
          <w:color w:val="auto"/>
          <w:szCs w:val="21"/>
        </w:rPr>
      </w:pPr>
      <w:r>
        <w:rPr>
          <w:rFonts w:hint="eastAsia" w:ascii="宋体" w:hAnsi="宋体" w:cs="宋体"/>
          <w:color w:val="auto"/>
          <w:szCs w:val="21"/>
        </w:rPr>
        <w:t>卖方应在供货同时向买方提供所有有关本合同执行的技术文件。如果项目必需但合同又未作规定的要卖方才能提供的技术文件，卖方也应及时向买方提供。技术文件可以是手册、说明、其他形式的文件资料。</w:t>
      </w:r>
    </w:p>
    <w:p>
      <w:pPr>
        <w:numPr>
          <w:ilvl w:val="0"/>
          <w:numId w:val="10"/>
        </w:numPr>
        <w:tabs>
          <w:tab w:val="left" w:pos="824"/>
        </w:tabs>
        <w:spacing w:line="360" w:lineRule="auto"/>
        <w:jc w:val="both"/>
        <w:rPr>
          <w:rFonts w:ascii="宋体" w:hAnsi="宋体" w:cs="宋体"/>
          <w:color w:val="auto"/>
          <w:szCs w:val="21"/>
        </w:rPr>
      </w:pPr>
      <w:r>
        <w:rPr>
          <w:rFonts w:hint="eastAsia" w:ascii="宋体" w:hAnsi="宋体" w:cs="宋体"/>
          <w:color w:val="auto"/>
          <w:szCs w:val="21"/>
        </w:rPr>
        <w:t>上述技术文件应包含保证买方能够正确进行使用、检查、测试、验收的需要的所有内容。</w:t>
      </w:r>
    </w:p>
    <w:p>
      <w:pPr>
        <w:numPr>
          <w:ilvl w:val="0"/>
          <w:numId w:val="10"/>
        </w:numPr>
        <w:tabs>
          <w:tab w:val="left" w:pos="824"/>
        </w:tabs>
        <w:spacing w:line="360" w:lineRule="auto"/>
        <w:jc w:val="both"/>
        <w:rPr>
          <w:rFonts w:ascii="宋体" w:hAnsi="宋体" w:cs="宋体"/>
          <w:color w:val="auto"/>
          <w:szCs w:val="21"/>
        </w:rPr>
      </w:pPr>
      <w:r>
        <w:rPr>
          <w:rFonts w:hint="eastAsia" w:ascii="宋体" w:hAnsi="宋体" w:cs="宋体"/>
          <w:color w:val="auto"/>
          <w:szCs w:val="21"/>
        </w:rPr>
        <w:t>所有卖方提供的技术文件的全部费用已包含在合同货物价格中。</w:t>
      </w:r>
    </w:p>
    <w:p>
      <w:pPr>
        <w:numPr>
          <w:ilvl w:val="0"/>
          <w:numId w:val="10"/>
        </w:numPr>
        <w:tabs>
          <w:tab w:val="left" w:pos="824"/>
        </w:tabs>
        <w:spacing w:line="360" w:lineRule="auto"/>
        <w:jc w:val="both"/>
        <w:rPr>
          <w:rFonts w:ascii="宋体" w:hAnsi="宋体" w:cs="宋体"/>
          <w:color w:val="auto"/>
          <w:szCs w:val="21"/>
        </w:rPr>
      </w:pPr>
      <w:r>
        <w:rPr>
          <w:rFonts w:hint="eastAsia" w:ascii="宋体" w:hAnsi="宋体" w:cs="宋体"/>
          <w:color w:val="auto"/>
          <w:szCs w:val="21"/>
        </w:rPr>
        <w:t>所有未列明交付时间的卖方应提供的技术文件，必须单独包装伴随货物按货物交付时间交付给买方。</w:t>
      </w:r>
    </w:p>
    <w:p>
      <w:pPr>
        <w:numPr>
          <w:ilvl w:val="0"/>
          <w:numId w:val="10"/>
        </w:numPr>
        <w:tabs>
          <w:tab w:val="left" w:pos="824"/>
        </w:tabs>
        <w:spacing w:line="360" w:lineRule="auto"/>
        <w:jc w:val="both"/>
        <w:rPr>
          <w:rFonts w:ascii="宋体" w:hAnsi="宋体" w:cs="宋体"/>
          <w:color w:val="auto"/>
          <w:szCs w:val="21"/>
        </w:rPr>
      </w:pPr>
      <w:r>
        <w:rPr>
          <w:rFonts w:hint="eastAsia" w:ascii="宋体" w:hAnsi="宋体" w:cs="宋体"/>
          <w:color w:val="auto"/>
          <w:szCs w:val="21"/>
        </w:rPr>
        <w:t>到货后买方如发现卖方未提供有关文件，可以推迟付款，直至卖方补齐有关文件。</w:t>
      </w:r>
    </w:p>
    <w:p>
      <w:pPr>
        <w:spacing w:line="360" w:lineRule="auto"/>
        <w:jc w:val="both"/>
        <w:outlineLvl w:val="0"/>
        <w:rPr>
          <w:rFonts w:ascii="宋体" w:hAnsi="宋体" w:cs="宋体"/>
          <w:b/>
          <w:color w:val="auto"/>
          <w:szCs w:val="21"/>
        </w:rPr>
      </w:pPr>
      <w:r>
        <w:rPr>
          <w:rFonts w:hint="eastAsia" w:ascii="宋体" w:hAnsi="宋体" w:cs="宋体"/>
          <w:b/>
          <w:color w:val="auto"/>
          <w:szCs w:val="21"/>
        </w:rPr>
        <w:t>八、知识产权</w:t>
      </w:r>
    </w:p>
    <w:p>
      <w:pPr>
        <w:numPr>
          <w:ilvl w:val="0"/>
          <w:numId w:val="11"/>
        </w:numPr>
        <w:tabs>
          <w:tab w:val="left" w:pos="824"/>
        </w:tabs>
        <w:spacing w:line="360" w:lineRule="auto"/>
        <w:jc w:val="both"/>
        <w:rPr>
          <w:rFonts w:ascii="宋体" w:hAnsi="宋体" w:cs="宋体"/>
          <w:color w:val="auto"/>
          <w:szCs w:val="21"/>
        </w:rPr>
      </w:pPr>
      <w:r>
        <w:rPr>
          <w:rFonts w:hint="eastAsia" w:ascii="宋体" w:hAnsi="宋体" w:cs="宋体"/>
          <w:color w:val="auto"/>
          <w:szCs w:val="21"/>
        </w:rPr>
        <w:t>卖方应保证，买方在中华人民共和国使用该货物或货物的任何一部分时，如受第三方提出的侵犯其专利权、商标权或其他知识产权的起诉，由卖方承担一切责任。</w:t>
      </w:r>
    </w:p>
    <w:p>
      <w:pPr>
        <w:numPr>
          <w:ilvl w:val="0"/>
          <w:numId w:val="11"/>
        </w:numPr>
        <w:tabs>
          <w:tab w:val="left" w:pos="824"/>
        </w:tabs>
        <w:spacing w:line="360" w:lineRule="auto"/>
        <w:jc w:val="both"/>
        <w:rPr>
          <w:rFonts w:ascii="宋体" w:hAnsi="宋体" w:cs="宋体"/>
          <w:color w:val="auto"/>
          <w:szCs w:val="21"/>
        </w:rPr>
      </w:pPr>
      <w:r>
        <w:rPr>
          <w:rFonts w:hint="eastAsia" w:ascii="宋体" w:hAnsi="宋体" w:cs="宋体"/>
          <w:color w:val="auto"/>
          <w:szCs w:val="21"/>
        </w:rPr>
        <w:t>卖方为执行本合同而提供的技术资料、软件的使用权归买方所有。</w:t>
      </w:r>
    </w:p>
    <w:p>
      <w:pPr>
        <w:spacing w:line="360" w:lineRule="auto"/>
        <w:ind w:left="700" w:hanging="700"/>
        <w:jc w:val="both"/>
        <w:outlineLvl w:val="0"/>
        <w:rPr>
          <w:rFonts w:ascii="宋体" w:hAnsi="宋体" w:cs="宋体"/>
          <w:b/>
          <w:color w:val="auto"/>
          <w:szCs w:val="21"/>
        </w:rPr>
      </w:pPr>
      <w:r>
        <w:rPr>
          <w:rFonts w:hint="eastAsia" w:ascii="宋体" w:hAnsi="宋体" w:cs="宋体"/>
          <w:b/>
          <w:color w:val="auto"/>
          <w:szCs w:val="21"/>
        </w:rPr>
        <w:t>九、包装、装卸和运输</w:t>
      </w:r>
    </w:p>
    <w:p>
      <w:pPr>
        <w:tabs>
          <w:tab w:val="left" w:pos="360"/>
        </w:tabs>
        <w:spacing w:line="360" w:lineRule="auto"/>
        <w:ind w:firstLine="400" w:firstLineChars="200"/>
        <w:jc w:val="both"/>
        <w:rPr>
          <w:rFonts w:ascii="宋体" w:hAnsi="宋体" w:cs="宋体"/>
          <w:color w:val="auto"/>
          <w:szCs w:val="21"/>
        </w:rPr>
      </w:pPr>
      <w:r>
        <w:rPr>
          <w:rFonts w:hint="eastAsia" w:ascii="宋体" w:hAnsi="宋体" w:cs="宋体"/>
          <w:color w:val="auto"/>
          <w:szCs w:val="21"/>
        </w:rPr>
        <w:t>包装必须与运输方式相适应，包装方式的确定及包装费用均由卖方负责；由于不适当的包装而造成货物在运输过程中有任何损坏、丢失由卖方负责。</w:t>
      </w:r>
    </w:p>
    <w:p>
      <w:pPr>
        <w:spacing w:line="360" w:lineRule="auto"/>
        <w:jc w:val="both"/>
        <w:outlineLvl w:val="0"/>
        <w:rPr>
          <w:rFonts w:ascii="宋体" w:hAnsi="宋体" w:cs="宋体"/>
          <w:b/>
          <w:color w:val="auto"/>
          <w:szCs w:val="21"/>
        </w:rPr>
      </w:pPr>
      <w:r>
        <w:rPr>
          <w:rFonts w:hint="eastAsia" w:ascii="宋体" w:hAnsi="宋体" w:cs="宋体"/>
          <w:b/>
          <w:color w:val="auto"/>
          <w:szCs w:val="21"/>
        </w:rPr>
        <w:t>十二、产权与风险转移</w:t>
      </w:r>
    </w:p>
    <w:p>
      <w:pPr>
        <w:spacing w:line="360" w:lineRule="auto"/>
        <w:ind w:firstLine="540"/>
        <w:jc w:val="both"/>
        <w:rPr>
          <w:rFonts w:ascii="宋体" w:hAnsi="宋体" w:cs="宋体"/>
          <w:color w:val="auto"/>
          <w:szCs w:val="21"/>
        </w:rPr>
      </w:pPr>
      <w:r>
        <w:rPr>
          <w:rFonts w:hint="eastAsia" w:ascii="宋体" w:hAnsi="宋体" w:cs="宋体"/>
          <w:color w:val="auto"/>
          <w:szCs w:val="21"/>
        </w:rPr>
        <w:t>除非《合同资料表》另有规定，合同标的产权与风险转移遵守如下约定：</w:t>
      </w:r>
    </w:p>
    <w:p>
      <w:pPr>
        <w:numPr>
          <w:ilvl w:val="0"/>
          <w:numId w:val="12"/>
        </w:numPr>
        <w:tabs>
          <w:tab w:val="left" w:pos="540"/>
          <w:tab w:val="clear" w:pos="0"/>
        </w:tabs>
        <w:spacing w:line="360" w:lineRule="auto"/>
        <w:jc w:val="both"/>
        <w:rPr>
          <w:rFonts w:ascii="宋体" w:hAnsi="宋体" w:cs="宋体"/>
          <w:color w:val="auto"/>
          <w:szCs w:val="21"/>
        </w:rPr>
      </w:pPr>
      <w:r>
        <w:rPr>
          <w:rFonts w:hint="eastAsia" w:ascii="宋体" w:hAnsi="宋体" w:cs="宋体"/>
          <w:color w:val="auto"/>
          <w:szCs w:val="21"/>
        </w:rPr>
        <w:t>卖方交由承运人运输的在途货物，毁损、灭失的风险由卖方承担。</w:t>
      </w:r>
    </w:p>
    <w:p>
      <w:pPr>
        <w:numPr>
          <w:ilvl w:val="0"/>
          <w:numId w:val="12"/>
        </w:numPr>
        <w:tabs>
          <w:tab w:val="left" w:pos="540"/>
          <w:tab w:val="clear" w:pos="0"/>
        </w:tabs>
        <w:spacing w:line="360" w:lineRule="auto"/>
        <w:jc w:val="both"/>
        <w:rPr>
          <w:rFonts w:ascii="宋体" w:hAnsi="宋体" w:cs="宋体"/>
          <w:color w:val="auto"/>
          <w:szCs w:val="21"/>
        </w:rPr>
      </w:pPr>
      <w:r>
        <w:rPr>
          <w:rFonts w:hint="eastAsia" w:ascii="宋体" w:hAnsi="宋体" w:cs="宋体"/>
          <w:color w:val="auto"/>
          <w:szCs w:val="21"/>
        </w:rPr>
        <w:t>货物的产权，损坏、灭失的风险，在货物通过验收交付使用时起由卖方转移至买方。</w:t>
      </w:r>
    </w:p>
    <w:p>
      <w:pPr>
        <w:numPr>
          <w:ilvl w:val="0"/>
          <w:numId w:val="12"/>
        </w:numPr>
        <w:tabs>
          <w:tab w:val="left" w:pos="540"/>
          <w:tab w:val="clear" w:pos="0"/>
        </w:tabs>
        <w:spacing w:line="360" w:lineRule="auto"/>
        <w:jc w:val="both"/>
        <w:rPr>
          <w:rFonts w:ascii="宋体" w:hAnsi="宋体" w:cs="宋体"/>
          <w:color w:val="auto"/>
          <w:szCs w:val="21"/>
        </w:rPr>
      </w:pPr>
      <w:r>
        <w:rPr>
          <w:rFonts w:hint="eastAsia" w:ascii="宋体" w:hAnsi="宋体" w:cs="宋体"/>
          <w:color w:val="auto"/>
          <w:szCs w:val="21"/>
        </w:rPr>
        <w:t>因货物验收不合格买方拒收或</w:t>
      </w:r>
      <w:r>
        <w:rPr>
          <w:rFonts w:hint="eastAsia" w:ascii="宋体" w:hAnsi="宋体" w:cs="宋体"/>
          <w:color w:val="auto"/>
          <w:szCs w:val="21"/>
          <w:lang w:eastAsia="zh-CN"/>
        </w:rPr>
        <w:t>由于卖方原因造成</w:t>
      </w:r>
      <w:r>
        <w:rPr>
          <w:rFonts w:hint="eastAsia" w:ascii="宋体" w:hAnsi="宋体" w:cs="宋体"/>
          <w:color w:val="auto"/>
          <w:szCs w:val="21"/>
        </w:rPr>
        <w:t>合同</w:t>
      </w:r>
      <w:r>
        <w:rPr>
          <w:rFonts w:hint="eastAsia" w:ascii="宋体" w:hAnsi="宋体" w:cs="宋体"/>
          <w:color w:val="auto"/>
          <w:szCs w:val="21"/>
          <w:lang w:eastAsia="zh-CN"/>
        </w:rPr>
        <w:t>无法履行</w:t>
      </w:r>
      <w:r>
        <w:rPr>
          <w:rFonts w:hint="eastAsia" w:ascii="宋体" w:hAnsi="宋体" w:cs="宋体"/>
          <w:color w:val="auto"/>
          <w:szCs w:val="21"/>
        </w:rPr>
        <w:t>，货物毁损、灭失的风险由卖方承担</w:t>
      </w:r>
      <w:r>
        <w:rPr>
          <w:rFonts w:hint="eastAsia" w:ascii="宋体" w:hAnsi="宋体" w:cs="宋体"/>
          <w:color w:val="auto"/>
          <w:szCs w:val="21"/>
          <w:lang w:eastAsia="zh-CN"/>
        </w:rPr>
        <w:t>；由于买方原因造成合同无法履行，一切责任由买方负责。</w:t>
      </w:r>
    </w:p>
    <w:p>
      <w:pPr>
        <w:spacing w:line="360" w:lineRule="auto"/>
        <w:ind w:left="525" w:hanging="525"/>
        <w:jc w:val="both"/>
        <w:outlineLvl w:val="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三</w:t>
      </w:r>
      <w:r>
        <w:rPr>
          <w:rFonts w:hint="eastAsia" w:ascii="宋体" w:hAnsi="宋体" w:cs="宋体"/>
          <w:b/>
          <w:color w:val="auto"/>
          <w:szCs w:val="21"/>
        </w:rPr>
        <w:t>、检验与测试</w:t>
      </w:r>
    </w:p>
    <w:p>
      <w:pPr>
        <w:numPr>
          <w:ilvl w:val="0"/>
          <w:numId w:val="13"/>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pPr>
        <w:numPr>
          <w:ilvl w:val="0"/>
          <w:numId w:val="13"/>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检验和测试可以在卖方或其分包人的驻地、交货地和/或货物的最终目的地进行。如果在卖方或其分包人的驻地进行，检测人员应能得全部合理的设施和协助，</w:t>
      </w:r>
      <w:r>
        <w:rPr>
          <w:rFonts w:hint="eastAsia" w:ascii="宋体" w:hAnsi="宋体" w:cs="宋体"/>
          <w:color w:val="auto"/>
          <w:szCs w:val="21"/>
          <w:lang w:eastAsia="zh-CN"/>
        </w:rPr>
        <w:t>检测人员费用由双方协商解决。</w:t>
      </w:r>
      <w:r>
        <w:rPr>
          <w:rFonts w:hint="eastAsia" w:ascii="宋体" w:hAnsi="宋体" w:cs="宋体"/>
          <w:color w:val="auto"/>
          <w:szCs w:val="21"/>
        </w:rPr>
        <w:t>如果</w:t>
      </w:r>
      <w:r>
        <w:rPr>
          <w:rFonts w:hint="eastAsia" w:ascii="宋体" w:hAnsi="宋体" w:cs="宋体"/>
          <w:color w:val="auto"/>
          <w:szCs w:val="21"/>
          <w:lang w:eastAsia="zh-CN"/>
        </w:rPr>
        <w:t>经买卖双方认为的权威检验机构认为</w:t>
      </w:r>
      <w:r>
        <w:rPr>
          <w:rFonts w:hint="eastAsia" w:ascii="宋体" w:hAnsi="宋体" w:cs="宋体"/>
          <w:color w:val="auto"/>
          <w:szCs w:val="21"/>
        </w:rPr>
        <w:t>任何被检验或测试的货物不能满足规格的要求，买方可以拒绝接受该货物，卖方应更换被拒绝的货物，或者免费进行必要的修改以满足规格的要求。</w:t>
      </w:r>
    </w:p>
    <w:p>
      <w:pPr>
        <w:numPr>
          <w:ilvl w:val="0"/>
          <w:numId w:val="13"/>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买方在货物到达的目的地后对货物进行检验、测试及必要时拒绝接受货物的权力将不会因为货物在卖方或其分包人的驻地已通过了买方或其代表的检验、测试和认可而受到限制或放弃。</w:t>
      </w:r>
    </w:p>
    <w:p>
      <w:pPr>
        <w:numPr>
          <w:ilvl w:val="0"/>
          <w:numId w:val="13"/>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交货时，卖方应将制造商对货物的质量、规格、性能、数量和重量等进行详细而全面的检验，并出具一份证明货物符合合同规定的检验证书，检验证书是付款的文件依据之一，但不能作为有关质量、规格、性能、数量或重量的最终检验。制造商检验的结果和细节应附在质量检验证书后面。</w:t>
      </w:r>
    </w:p>
    <w:p>
      <w:pPr>
        <w:numPr>
          <w:ilvl w:val="0"/>
          <w:numId w:val="13"/>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本“检验与测试”的有关条款不能免除卖方在本合同项下的保证义务或其它义务。</w:t>
      </w:r>
    </w:p>
    <w:p>
      <w:pPr>
        <w:spacing w:line="360" w:lineRule="auto"/>
        <w:jc w:val="both"/>
        <w:outlineLvl w:val="0"/>
        <w:rPr>
          <w:rFonts w:ascii="宋体" w:hAnsi="宋体" w:cs="宋体"/>
          <w:b/>
          <w:bCs/>
          <w:color w:val="auto"/>
          <w:szCs w:val="21"/>
        </w:rPr>
      </w:pPr>
      <w:r>
        <w:rPr>
          <w:rFonts w:hint="eastAsia" w:ascii="宋体" w:hAnsi="宋体" w:cs="宋体"/>
          <w:b/>
          <w:color w:val="auto"/>
          <w:szCs w:val="21"/>
        </w:rPr>
        <w:t>十</w:t>
      </w:r>
      <w:r>
        <w:rPr>
          <w:rFonts w:hint="eastAsia" w:ascii="宋体" w:hAnsi="宋体" w:cs="宋体"/>
          <w:b/>
          <w:color w:val="auto"/>
          <w:szCs w:val="21"/>
          <w:lang w:eastAsia="zh-CN"/>
        </w:rPr>
        <w:t>四</w:t>
      </w:r>
      <w:r>
        <w:rPr>
          <w:rFonts w:hint="eastAsia" w:ascii="宋体" w:hAnsi="宋体" w:cs="宋体"/>
          <w:b/>
          <w:color w:val="auto"/>
          <w:szCs w:val="21"/>
        </w:rPr>
        <w:t>、伴随服务</w:t>
      </w:r>
    </w:p>
    <w:p>
      <w:pPr>
        <w:widowControl w:val="0"/>
        <w:spacing w:line="360" w:lineRule="auto"/>
        <w:ind w:left="600" w:leftChars="300"/>
        <w:jc w:val="both"/>
        <w:rPr>
          <w:rFonts w:ascii="宋体" w:hAnsi="宋体" w:cs="宋体"/>
          <w:color w:val="auto"/>
          <w:szCs w:val="21"/>
        </w:rPr>
      </w:pPr>
      <w:r>
        <w:rPr>
          <w:rFonts w:hint="eastAsia" w:ascii="宋体" w:hAnsi="宋体" w:cs="宋体"/>
          <w:color w:val="auto"/>
          <w:szCs w:val="21"/>
        </w:rPr>
        <w:t>应买方要求，卖方应提供下列服务的一项或各项，以及《合同资料表》及用户需求书规定的附加服务（如果有的话）。除非另有约定，所有服务费用已包含在合同总价中。</w:t>
      </w:r>
    </w:p>
    <w:p>
      <w:pPr>
        <w:widowControl w:val="0"/>
        <w:numPr>
          <w:ilvl w:val="0"/>
          <w:numId w:val="14"/>
        </w:numPr>
        <w:spacing w:line="360" w:lineRule="auto"/>
        <w:jc w:val="both"/>
        <w:rPr>
          <w:rFonts w:ascii="宋体" w:hAnsi="宋体" w:cs="宋体"/>
          <w:b/>
          <w:color w:val="auto"/>
          <w:szCs w:val="21"/>
        </w:rPr>
      </w:pPr>
      <w:r>
        <w:rPr>
          <w:rFonts w:hint="eastAsia" w:ascii="宋体" w:hAnsi="宋体" w:cs="宋体"/>
          <w:b/>
          <w:color w:val="auto"/>
          <w:szCs w:val="21"/>
        </w:rPr>
        <w:t>验收要求</w:t>
      </w:r>
    </w:p>
    <w:p>
      <w:pPr>
        <w:spacing w:line="360" w:lineRule="auto"/>
        <w:ind w:left="480" w:hanging="480"/>
        <w:jc w:val="both"/>
        <w:outlineLvl w:val="0"/>
        <w:rPr>
          <w:rFonts w:ascii="宋体" w:hAnsi="宋体" w:cs="宋体"/>
          <w:bCs/>
          <w:color w:val="auto"/>
          <w:szCs w:val="21"/>
        </w:rPr>
      </w:pPr>
      <w:r>
        <w:rPr>
          <w:rFonts w:hint="eastAsia" w:ascii="宋体" w:hAnsi="宋体" w:cs="宋体"/>
          <w:bCs/>
          <w:color w:val="auto"/>
          <w:szCs w:val="21"/>
        </w:rPr>
        <w:t>（1）本项目所用材料由供应商负责采购运输, 必须有质保书, 产品合格证、严禁使用不合格产品。所用材料均要符合国家规定的相应的环保标准, 无毒、无害、无污染。对使用不合格材料造成的经济损失由供应商自行承担。</w:t>
      </w:r>
    </w:p>
    <w:p>
      <w:pPr>
        <w:spacing w:line="360" w:lineRule="auto"/>
        <w:ind w:left="480" w:hanging="480"/>
        <w:jc w:val="both"/>
        <w:outlineLvl w:val="0"/>
        <w:rPr>
          <w:rFonts w:hint="eastAsia" w:ascii="宋体" w:hAnsi="宋体" w:cs="宋体"/>
          <w:b/>
          <w:color w:val="auto"/>
          <w:szCs w:val="21"/>
        </w:rPr>
      </w:pPr>
      <w:r>
        <w:rPr>
          <w:rFonts w:hint="eastAsia" w:ascii="宋体" w:hAnsi="宋体" w:cs="宋体"/>
          <w:bCs/>
          <w:color w:val="auto"/>
          <w:szCs w:val="21"/>
        </w:rPr>
        <w:t xml:space="preserve">（2）验收由采购人、中标单位及相关人员依国家有关标准、合同及有关附件要求进行。验收完毕由采购人及中标单位在验收报告上签名盖章。 </w:t>
      </w:r>
      <w:r>
        <w:rPr>
          <w:rFonts w:hint="eastAsia" w:ascii="宋体" w:hAnsi="宋体" w:cs="宋体"/>
          <w:b/>
          <w:color w:val="auto"/>
          <w:szCs w:val="21"/>
        </w:rPr>
        <w:t xml:space="preserve"> </w:t>
      </w:r>
    </w:p>
    <w:p>
      <w:pPr>
        <w:spacing w:line="360" w:lineRule="auto"/>
        <w:ind w:left="480" w:hanging="480"/>
        <w:jc w:val="both"/>
        <w:outlineLvl w:val="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五</w:t>
      </w:r>
      <w:r>
        <w:rPr>
          <w:rFonts w:hint="eastAsia" w:ascii="宋体" w:hAnsi="宋体" w:cs="宋体"/>
          <w:b/>
          <w:color w:val="auto"/>
          <w:szCs w:val="21"/>
        </w:rPr>
        <w:t>、合同转让与分包</w:t>
      </w:r>
    </w:p>
    <w:p>
      <w:pPr>
        <w:spacing w:line="360" w:lineRule="auto"/>
        <w:ind w:firstLine="514" w:firstLineChars="257"/>
        <w:jc w:val="both"/>
        <w:rPr>
          <w:rFonts w:ascii="宋体" w:hAnsi="宋体" w:cs="宋体"/>
          <w:color w:val="auto"/>
          <w:szCs w:val="21"/>
        </w:rPr>
      </w:pPr>
      <w:r>
        <w:rPr>
          <w:rFonts w:hint="eastAsia" w:ascii="宋体" w:hAnsi="宋体" w:cs="宋体"/>
          <w:color w:val="auto"/>
          <w:szCs w:val="21"/>
        </w:rPr>
        <w:t>本合同卖方在任何情况下都不得全部或部分转让其应履行的合同义务。</w:t>
      </w:r>
    </w:p>
    <w:p>
      <w:pPr>
        <w:spacing w:line="360" w:lineRule="auto"/>
        <w:ind w:left="480" w:hanging="480"/>
        <w:jc w:val="both"/>
        <w:outlineLvl w:val="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六</w:t>
      </w:r>
      <w:r>
        <w:rPr>
          <w:rFonts w:hint="eastAsia" w:ascii="宋体" w:hAnsi="宋体" w:cs="宋体"/>
          <w:b/>
          <w:color w:val="auto"/>
          <w:szCs w:val="21"/>
        </w:rPr>
        <w:t>、售后服务</w:t>
      </w:r>
    </w:p>
    <w:p>
      <w:pPr>
        <w:pStyle w:val="84"/>
        <w:numPr>
          <w:ilvl w:val="2"/>
          <w:numId w:val="0"/>
        </w:numPr>
        <w:adjustRightInd w:val="0"/>
        <w:spacing w:line="360" w:lineRule="auto"/>
        <w:ind w:leftChars="200"/>
        <w:jc w:val="both"/>
        <w:rPr>
          <w:rFonts w:hint="eastAsia" w:ascii="宋体" w:hAnsi="宋体" w:eastAsia="宋体" w:cs="宋体"/>
          <w:sz w:val="21"/>
          <w:szCs w:val="21"/>
          <w:lang w:val="en-US"/>
        </w:rPr>
      </w:pPr>
      <w:r>
        <w:rPr>
          <w:rFonts w:hint="eastAsia" w:ascii="宋体" w:hAnsi="宋体" w:eastAsia="宋体" w:cs="宋体"/>
          <w:sz w:val="21"/>
          <w:szCs w:val="21"/>
          <w:lang w:val="en-US"/>
        </w:rPr>
        <w:t>以书面形式承诺维修服务。</w:t>
      </w:r>
    </w:p>
    <w:p>
      <w:pPr>
        <w:numPr>
          <w:ilvl w:val="0"/>
          <w:numId w:val="15"/>
        </w:numPr>
        <w:tabs>
          <w:tab w:val="left" w:pos="540"/>
          <w:tab w:val="left" w:pos="1494"/>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系统故障保修响应时间为：2小时内响应到用户现场。如果系统故障在检修</w:t>
      </w:r>
    </w:p>
    <w:p>
      <w:pPr>
        <w:tabs>
          <w:tab w:val="left" w:pos="540"/>
          <w:tab w:val="left" w:pos="1494"/>
        </w:tabs>
        <w:adjustRightInd w:val="0"/>
        <w:snapToGrid w:val="0"/>
        <w:spacing w:line="360" w:lineRule="auto"/>
        <w:ind w:left="500" w:leftChars="250"/>
        <w:rPr>
          <w:rFonts w:hint="eastAsia" w:ascii="宋体" w:hAnsi="宋体" w:eastAsia="宋体" w:cs="宋体"/>
          <w:sz w:val="21"/>
          <w:szCs w:val="21"/>
        </w:rPr>
      </w:pPr>
      <w:r>
        <w:rPr>
          <w:rFonts w:hint="eastAsia" w:ascii="宋体" w:hAnsi="宋体" w:eastAsia="宋体" w:cs="宋体"/>
          <w:sz w:val="21"/>
          <w:szCs w:val="21"/>
        </w:rPr>
        <w:t>8小时后仍无法排除，投标方应在24小时内提供不低于故障产品规格型号档次的备用产品供用户使用，直至故障产品修复。对于重大紧急故障，中标人技术人员在1小时内到达最终用户现场免费服务。</w:t>
      </w:r>
    </w:p>
    <w:p>
      <w:pPr>
        <w:numPr>
          <w:ilvl w:val="0"/>
          <w:numId w:val="15"/>
        </w:numPr>
        <w:tabs>
          <w:tab w:val="left" w:pos="540"/>
          <w:tab w:val="left" w:pos="1494"/>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设备按厂家保修政策保修，设备提供不少一年免费上门保修，且供货商须承诺所有设备免费上门维修。</w:t>
      </w:r>
    </w:p>
    <w:p>
      <w:pPr>
        <w:numPr>
          <w:ilvl w:val="0"/>
          <w:numId w:val="15"/>
        </w:numPr>
        <w:tabs>
          <w:tab w:val="left" w:pos="540"/>
          <w:tab w:val="left" w:pos="1494"/>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保修期内用户所购设备各部件发生非人为故障，供货商应下一工作日内免费上门更换同种品牌规格型号的新部件；设备发生人为故障的，供货商应上门更换同种品牌规格型号的新部件，只收零配件成本，不加收其它任何费用。</w:t>
      </w:r>
    </w:p>
    <w:p>
      <w:pPr>
        <w:numPr>
          <w:ilvl w:val="0"/>
          <w:numId w:val="15"/>
        </w:numPr>
        <w:tabs>
          <w:tab w:val="left" w:pos="540"/>
          <w:tab w:val="left" w:pos="1494"/>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供货商24小时免费提供技术支持；永久性免费提供电话技术指导和咨询服务。</w:t>
      </w:r>
    </w:p>
    <w:p>
      <w:pPr>
        <w:numPr>
          <w:ilvl w:val="0"/>
          <w:numId w:val="15"/>
        </w:numPr>
        <w:tabs>
          <w:tab w:val="left" w:pos="540"/>
          <w:tab w:val="left" w:pos="1494"/>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交货时提供产品质量合格证书。</w:t>
      </w:r>
    </w:p>
    <w:p>
      <w:pPr>
        <w:spacing w:line="360" w:lineRule="auto"/>
        <w:jc w:val="both"/>
        <w:outlineLvl w:val="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七</w:t>
      </w:r>
      <w:r>
        <w:rPr>
          <w:rFonts w:hint="eastAsia" w:ascii="宋体" w:hAnsi="宋体" w:cs="宋体"/>
          <w:b/>
          <w:color w:val="auto"/>
          <w:szCs w:val="21"/>
        </w:rPr>
        <w:t>、索赔</w:t>
      </w:r>
    </w:p>
    <w:p>
      <w:pPr>
        <w:spacing w:line="360" w:lineRule="auto"/>
        <w:ind w:left="400" w:leftChars="200" w:firstLine="400" w:firstLineChars="200"/>
        <w:jc w:val="both"/>
        <w:rPr>
          <w:rFonts w:ascii="宋体" w:hAnsi="宋体" w:cs="宋体"/>
          <w:color w:val="auto"/>
          <w:szCs w:val="21"/>
        </w:rPr>
      </w:pPr>
      <w:r>
        <w:rPr>
          <w:rFonts w:hint="eastAsia" w:ascii="宋体" w:hAnsi="宋体" w:cs="宋体"/>
          <w:color w:val="auto"/>
          <w:szCs w:val="21"/>
        </w:rPr>
        <w:t>卖方对所供货物与合同要求不符负有责任</w:t>
      </w:r>
      <w:r>
        <w:rPr>
          <w:rFonts w:hint="eastAsia" w:ascii="宋体" w:hAnsi="宋体" w:cs="宋体"/>
          <w:color w:val="auto"/>
          <w:szCs w:val="21"/>
          <w:lang w:eastAsia="zh-CN"/>
        </w:rPr>
        <w:t>。验收时，</w:t>
      </w:r>
      <w:r>
        <w:rPr>
          <w:rFonts w:hint="eastAsia" w:ascii="宋体" w:hAnsi="宋体" w:cs="宋体"/>
          <w:color w:val="auto"/>
          <w:szCs w:val="21"/>
        </w:rPr>
        <w:t>如经</w:t>
      </w:r>
      <w:r>
        <w:rPr>
          <w:rFonts w:hint="eastAsia" w:ascii="宋体" w:hAnsi="宋体" w:cs="宋体"/>
          <w:color w:val="auto"/>
          <w:szCs w:val="21"/>
          <w:lang w:eastAsia="zh-CN"/>
        </w:rPr>
        <w:t>买卖双方认可的权威机构</w:t>
      </w:r>
      <w:r>
        <w:rPr>
          <w:rFonts w:hint="eastAsia" w:ascii="宋体" w:hAnsi="宋体" w:cs="宋体"/>
          <w:color w:val="auto"/>
          <w:szCs w:val="21"/>
        </w:rPr>
        <w:t>检验证实</w:t>
      </w:r>
      <w:r>
        <w:rPr>
          <w:rFonts w:hint="eastAsia" w:ascii="宋体" w:hAnsi="宋体" w:cs="宋体"/>
          <w:color w:val="auto"/>
          <w:szCs w:val="21"/>
          <w:lang w:eastAsia="zh-CN"/>
        </w:rPr>
        <w:t>货物</w:t>
      </w:r>
      <w:r>
        <w:rPr>
          <w:rFonts w:hint="eastAsia" w:ascii="宋体" w:hAnsi="宋体" w:cs="宋体"/>
          <w:color w:val="auto"/>
          <w:szCs w:val="21"/>
        </w:rPr>
        <w:t>不符或缺陷存在的</w:t>
      </w:r>
      <w:r>
        <w:rPr>
          <w:rFonts w:hint="eastAsia" w:ascii="宋体" w:hAnsi="宋体" w:cs="宋体"/>
          <w:color w:val="auto"/>
          <w:szCs w:val="21"/>
          <w:lang w:eastAsia="zh-CN"/>
        </w:rPr>
        <w:t>（</w:t>
      </w:r>
      <w:r>
        <w:rPr>
          <w:rFonts w:hint="eastAsia" w:ascii="宋体" w:hAnsi="宋体" w:cs="宋体"/>
          <w:color w:val="auto"/>
          <w:szCs w:val="21"/>
        </w:rPr>
        <w:t>包括潜在的缺陷或使用不合适的原料</w:t>
      </w:r>
      <w:r>
        <w:rPr>
          <w:rFonts w:hint="eastAsia" w:ascii="宋体" w:hAnsi="宋体" w:cs="宋体"/>
          <w:color w:val="auto"/>
          <w:szCs w:val="21"/>
          <w:lang w:eastAsia="zh-CN"/>
        </w:rPr>
        <w:t>），</w:t>
      </w:r>
      <w:r>
        <w:rPr>
          <w:rFonts w:hint="eastAsia" w:ascii="宋体" w:hAnsi="宋体" w:cs="宋体"/>
          <w:color w:val="auto"/>
          <w:szCs w:val="21"/>
        </w:rPr>
        <w:t>买方可根据本合同有关质量保证或检验、验收的规定，提出索赔</w:t>
      </w:r>
      <w:r>
        <w:rPr>
          <w:rFonts w:hint="eastAsia" w:ascii="宋体" w:hAnsi="宋体" w:cs="宋体"/>
          <w:color w:val="auto"/>
          <w:szCs w:val="21"/>
          <w:lang w:eastAsia="zh-CN"/>
        </w:rPr>
        <w:t>；验收通过后，买方无权再提出任何索赔要求。</w:t>
      </w:r>
      <w:r>
        <w:rPr>
          <w:rFonts w:hint="eastAsia" w:ascii="宋体" w:hAnsi="宋体" w:cs="宋体"/>
          <w:color w:val="auto"/>
          <w:szCs w:val="21"/>
        </w:rPr>
        <w:t>卖方同意买方选择下述一种或多种结合的方法解决索赔事宜：</w:t>
      </w:r>
    </w:p>
    <w:p>
      <w:pPr>
        <w:numPr>
          <w:ilvl w:val="0"/>
          <w:numId w:val="16"/>
        </w:numPr>
        <w:spacing w:line="360" w:lineRule="auto"/>
        <w:jc w:val="both"/>
        <w:rPr>
          <w:rFonts w:ascii="宋体" w:hAnsi="宋体" w:cs="宋体"/>
          <w:color w:val="auto"/>
          <w:szCs w:val="21"/>
        </w:rPr>
      </w:pPr>
      <w:r>
        <w:rPr>
          <w:rFonts w:hint="eastAsia" w:ascii="宋体" w:hAnsi="宋体" w:cs="宋体"/>
          <w:color w:val="auto"/>
          <w:szCs w:val="21"/>
        </w:rPr>
        <w:t>卖方同意买方退货，并将货物被拒收前买方已付的所有款项退还买方</w:t>
      </w:r>
      <w:r>
        <w:rPr>
          <w:rFonts w:hint="eastAsia" w:ascii="宋体" w:hAnsi="宋体" w:cs="宋体"/>
          <w:color w:val="auto"/>
          <w:szCs w:val="21"/>
          <w:lang w:eastAsia="zh-CN"/>
        </w:rPr>
        <w:t>。</w:t>
      </w:r>
    </w:p>
    <w:p>
      <w:pPr>
        <w:numPr>
          <w:ilvl w:val="0"/>
          <w:numId w:val="16"/>
        </w:numPr>
        <w:spacing w:line="360" w:lineRule="auto"/>
        <w:jc w:val="both"/>
        <w:rPr>
          <w:rFonts w:ascii="宋体" w:hAnsi="宋体" w:cs="宋体"/>
          <w:color w:val="auto"/>
          <w:szCs w:val="21"/>
        </w:rPr>
      </w:pPr>
      <w:r>
        <w:rPr>
          <w:rFonts w:hint="eastAsia" w:ascii="宋体" w:hAnsi="宋体" w:cs="宋体"/>
          <w:color w:val="auto"/>
          <w:szCs w:val="21"/>
        </w:rPr>
        <w:t>根据货物的疵劣和受损程度以及买方因此遭受损失的金额，经买卖双方商定，降低货物成交价格。</w:t>
      </w:r>
    </w:p>
    <w:p>
      <w:pPr>
        <w:numPr>
          <w:ilvl w:val="0"/>
          <w:numId w:val="16"/>
        </w:numPr>
        <w:spacing w:line="360" w:lineRule="auto"/>
        <w:jc w:val="both"/>
        <w:rPr>
          <w:rFonts w:ascii="宋体" w:hAnsi="宋体" w:cs="宋体"/>
          <w:color w:val="auto"/>
          <w:szCs w:val="21"/>
        </w:rPr>
      </w:pPr>
      <w:r>
        <w:rPr>
          <w:rFonts w:hint="eastAsia" w:ascii="宋体" w:hAnsi="宋体" w:cs="宋体"/>
          <w:color w:val="auto"/>
          <w:szCs w:val="21"/>
        </w:rPr>
        <w:t>卖方收到</w:t>
      </w:r>
      <w:r>
        <w:rPr>
          <w:rFonts w:hint="eastAsia" w:ascii="宋体" w:hAnsi="宋体" w:cs="宋体"/>
          <w:color w:val="auto"/>
          <w:szCs w:val="21"/>
          <w:lang w:eastAsia="zh-CN"/>
        </w:rPr>
        <w:t>书面</w:t>
      </w:r>
      <w:r>
        <w:rPr>
          <w:rFonts w:hint="eastAsia" w:ascii="宋体" w:hAnsi="宋体" w:cs="宋体"/>
          <w:color w:val="auto"/>
          <w:szCs w:val="21"/>
        </w:rPr>
        <w:t>索赔通知后10天内，未给买方答复的，视为索赔已被卖方接受。卖方未能在收到</w:t>
      </w:r>
      <w:r>
        <w:rPr>
          <w:rFonts w:hint="eastAsia" w:ascii="宋体" w:hAnsi="宋体" w:cs="宋体"/>
          <w:color w:val="auto"/>
          <w:szCs w:val="21"/>
          <w:lang w:eastAsia="zh-CN"/>
        </w:rPr>
        <w:t>书面</w:t>
      </w:r>
      <w:r>
        <w:rPr>
          <w:rFonts w:hint="eastAsia" w:ascii="宋体" w:hAnsi="宋体" w:cs="宋体"/>
          <w:color w:val="auto"/>
          <w:szCs w:val="21"/>
        </w:rPr>
        <w:t>索赔通知后10天内，或征得买方同意的延长期限内，按照买方从上列方法中选择的方案解决索赔事宜的，买方将有权从未付货款中扣回索赔金额，同时保留进一步要求索赔的权利</w:t>
      </w:r>
      <w:r>
        <w:rPr>
          <w:rFonts w:hint="eastAsia" w:ascii="宋体" w:hAnsi="宋体" w:cs="宋体"/>
          <w:color w:val="auto"/>
          <w:szCs w:val="21"/>
          <w:lang w:eastAsia="zh-CN"/>
        </w:rPr>
        <w:t>。</w:t>
      </w:r>
    </w:p>
    <w:p>
      <w:pPr>
        <w:pStyle w:val="2"/>
        <w:jc w:val="both"/>
        <w:rPr>
          <w:b w:val="0"/>
          <w:bCs w:val="0"/>
          <w:color w:val="auto"/>
          <w:sz w:val="21"/>
          <w:szCs w:val="21"/>
        </w:rPr>
      </w:pPr>
    </w:p>
    <w:p>
      <w:pPr>
        <w:spacing w:line="360" w:lineRule="auto"/>
        <w:ind w:left="40" w:hanging="40"/>
        <w:jc w:val="both"/>
        <w:outlineLvl w:val="0"/>
        <w:rPr>
          <w:rFonts w:ascii="宋体" w:hAnsi="宋体" w:cs="宋体"/>
          <w:b/>
          <w:color w:val="auto"/>
          <w:szCs w:val="21"/>
        </w:rPr>
      </w:pPr>
      <w:r>
        <w:rPr>
          <w:rFonts w:hint="eastAsia" w:ascii="宋体" w:hAnsi="宋体" w:cs="宋体"/>
          <w:b/>
          <w:color w:val="auto"/>
          <w:szCs w:val="21"/>
        </w:rPr>
        <w:t>十九、不可抗力</w:t>
      </w:r>
    </w:p>
    <w:p>
      <w:pPr>
        <w:numPr>
          <w:ilvl w:val="0"/>
          <w:numId w:val="17"/>
        </w:numPr>
        <w:spacing w:line="360" w:lineRule="auto"/>
        <w:jc w:val="both"/>
        <w:rPr>
          <w:rFonts w:ascii="宋体" w:hAnsi="宋体" w:cs="宋体"/>
          <w:color w:val="auto"/>
          <w:szCs w:val="21"/>
        </w:rPr>
      </w:pPr>
      <w:r>
        <w:rPr>
          <w:rFonts w:hint="eastAsia" w:ascii="宋体" w:hAnsi="宋体" w:cs="宋体"/>
          <w:color w:val="auto"/>
          <w:szCs w:val="21"/>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pPr>
        <w:numPr>
          <w:ilvl w:val="0"/>
          <w:numId w:val="17"/>
        </w:numPr>
        <w:spacing w:line="360" w:lineRule="auto"/>
        <w:jc w:val="both"/>
        <w:rPr>
          <w:rFonts w:ascii="宋体" w:hAnsi="宋体" w:cs="宋体"/>
          <w:color w:val="auto"/>
          <w:szCs w:val="21"/>
        </w:rPr>
      </w:pPr>
      <w:r>
        <w:rPr>
          <w:rFonts w:hint="eastAsia" w:ascii="宋体" w:hAnsi="宋体" w:cs="宋体"/>
          <w:color w:val="auto"/>
          <w:szCs w:val="21"/>
        </w:rPr>
        <w:t>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二十、逾期交货及逾期付款的赔偿</w:t>
      </w:r>
    </w:p>
    <w:p>
      <w:pPr>
        <w:numPr>
          <w:ilvl w:val="0"/>
          <w:numId w:val="18"/>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除不可抗力因素外，如果卖方不能按照合同规定的时间交货和提供服务，应及时以书面形式将延迟的事实、可能延迟的时间和原因通知买方。买方收到卖方通知后，将尽快作出评价，决定是否同意延长交货期及收取误期赔偿费。买方在不影响合同项下的其它补救措施情况下，可从合同未付款中扣除误期违约金。违约金按迟交货物交货价或未提供服务的服务费用的0.8‰/天计算。误期期限为30天，一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pPr>
        <w:numPr>
          <w:ilvl w:val="0"/>
          <w:numId w:val="18"/>
        </w:numPr>
        <w:tabs>
          <w:tab w:val="left" w:pos="540"/>
          <w:tab w:val="clear" w:pos="840"/>
        </w:tabs>
        <w:spacing w:line="360" w:lineRule="auto"/>
        <w:ind w:left="540" w:hanging="540"/>
        <w:jc w:val="both"/>
        <w:rPr>
          <w:rFonts w:ascii="宋体" w:hAnsi="宋体" w:cs="宋体"/>
          <w:color w:val="auto"/>
          <w:szCs w:val="21"/>
        </w:rPr>
      </w:pPr>
      <w:r>
        <w:rPr>
          <w:rFonts w:hint="eastAsia" w:ascii="宋体" w:hAnsi="宋体" w:cs="宋体"/>
          <w:color w:val="auto"/>
          <w:szCs w:val="21"/>
        </w:rPr>
        <w:t>本合同中对于买方付款和卖方交付使用有先决条件约定的，按约定执行。</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二十一、合同变更</w:t>
      </w:r>
    </w:p>
    <w:p>
      <w:pPr>
        <w:numPr>
          <w:ilvl w:val="0"/>
          <w:numId w:val="19"/>
        </w:numPr>
        <w:spacing w:line="360" w:lineRule="auto"/>
        <w:jc w:val="both"/>
        <w:rPr>
          <w:rFonts w:ascii="宋体" w:hAnsi="宋体" w:cs="宋体"/>
          <w:color w:val="auto"/>
          <w:szCs w:val="21"/>
        </w:rPr>
      </w:pPr>
      <w:r>
        <w:rPr>
          <w:rFonts w:hint="eastAsia" w:ascii="宋体" w:hAnsi="宋体" w:cs="宋体"/>
          <w:color w:val="auto"/>
          <w:szCs w:val="21"/>
        </w:rPr>
        <w:t xml:space="preserve"> 卖方根据实际情况，发现合同原计划或方案不尽合理，确实需变更原合同约定的货物的，应及时通知买方，并提出变更理由、修正方案及变更清单，经双方协商并签署有关文件（作为合同附件）后实施。</w:t>
      </w:r>
    </w:p>
    <w:p>
      <w:pPr>
        <w:numPr>
          <w:ilvl w:val="0"/>
          <w:numId w:val="19"/>
        </w:numPr>
        <w:spacing w:line="360" w:lineRule="auto"/>
        <w:jc w:val="both"/>
        <w:rPr>
          <w:rFonts w:ascii="宋体" w:hAnsi="宋体" w:cs="宋体"/>
          <w:color w:val="auto"/>
          <w:szCs w:val="21"/>
        </w:rPr>
      </w:pPr>
      <w:r>
        <w:rPr>
          <w:rFonts w:hint="eastAsia" w:ascii="宋体" w:hAnsi="宋体" w:cs="宋体"/>
          <w:color w:val="auto"/>
          <w:szCs w:val="21"/>
        </w:rPr>
        <w:t xml:space="preserve"> 因买方的原因变更合同货物的，买方应以书面形式通知卖方，并经双方协商一致签署有关变更文件。如因此造成卖方履行合同义务的价格或时间增减，将对合同价、交货时间进行公平调整。卖方据此要求的调整必须在收到买方通知后30天内提出。</w:t>
      </w:r>
    </w:p>
    <w:p>
      <w:pPr>
        <w:numPr>
          <w:ilvl w:val="0"/>
          <w:numId w:val="19"/>
        </w:numPr>
        <w:spacing w:line="360" w:lineRule="auto"/>
        <w:jc w:val="both"/>
        <w:rPr>
          <w:rFonts w:ascii="宋体" w:hAnsi="宋体" w:cs="宋体"/>
          <w:color w:val="auto"/>
          <w:szCs w:val="21"/>
        </w:rPr>
      </w:pPr>
      <w:r>
        <w:rPr>
          <w:rFonts w:hint="eastAsia" w:ascii="宋体" w:hAnsi="宋体" w:cs="宋体"/>
          <w:color w:val="auto"/>
          <w:szCs w:val="21"/>
        </w:rPr>
        <w:t xml:space="preserve"> 无论是按原合同要求，或是根据现场实际情况作出变更提供货物，卖方都不能免除其对货物应承担的责任。</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二十二、合同解除和终止</w:t>
      </w:r>
    </w:p>
    <w:p>
      <w:pPr>
        <w:numPr>
          <w:ilvl w:val="0"/>
          <w:numId w:val="20"/>
        </w:numPr>
        <w:spacing w:line="360" w:lineRule="auto"/>
        <w:jc w:val="both"/>
        <w:rPr>
          <w:rFonts w:ascii="宋体" w:hAnsi="宋体" w:cs="宋体"/>
          <w:color w:val="auto"/>
          <w:szCs w:val="21"/>
        </w:rPr>
      </w:pPr>
      <w:r>
        <w:rPr>
          <w:rFonts w:hint="eastAsia" w:ascii="宋体" w:hAnsi="宋体" w:cs="宋体"/>
          <w:color w:val="auto"/>
          <w:szCs w:val="21"/>
        </w:rPr>
        <w:t xml:space="preserve"> 合同自然终止</w:t>
      </w:r>
    </w:p>
    <w:p>
      <w:pPr>
        <w:spacing w:line="360" w:lineRule="auto"/>
        <w:jc w:val="both"/>
        <w:rPr>
          <w:rFonts w:ascii="宋体" w:hAnsi="宋体" w:cs="宋体"/>
          <w:color w:val="auto"/>
          <w:szCs w:val="21"/>
        </w:rPr>
      </w:pPr>
      <w:r>
        <w:rPr>
          <w:rFonts w:hint="eastAsia" w:ascii="宋体" w:hAnsi="宋体" w:cs="宋体"/>
          <w:color w:val="auto"/>
          <w:szCs w:val="21"/>
        </w:rPr>
        <w:t>1.1  买卖双方各自完成合同规定的责任和义务，合同自然终止。</w:t>
      </w:r>
    </w:p>
    <w:p>
      <w:pPr>
        <w:spacing w:line="360" w:lineRule="auto"/>
        <w:outlineLvl w:val="0"/>
        <w:rPr>
          <w:rFonts w:ascii="宋体" w:hAnsi="宋体" w:cs="宋体"/>
          <w:color w:val="auto"/>
          <w:szCs w:val="21"/>
        </w:rPr>
      </w:pPr>
      <w:r>
        <w:rPr>
          <w:rFonts w:hint="eastAsia" w:ascii="宋体" w:hAnsi="宋体" w:cs="宋体"/>
          <w:color w:val="auto"/>
          <w:szCs w:val="21"/>
        </w:rPr>
        <w:t>1.2  因产品质量等原因造成用户不接受成交人的货物。</w:t>
      </w:r>
    </w:p>
    <w:p>
      <w:pPr>
        <w:spacing w:line="360" w:lineRule="auto"/>
        <w:outlineLvl w:val="0"/>
        <w:rPr>
          <w:rFonts w:ascii="宋体" w:hAnsi="宋体" w:cs="宋体"/>
          <w:color w:val="auto"/>
          <w:szCs w:val="21"/>
        </w:rPr>
      </w:pPr>
      <w:r>
        <w:rPr>
          <w:rFonts w:hint="eastAsia" w:ascii="宋体" w:hAnsi="宋体" w:cs="宋体"/>
          <w:color w:val="auto"/>
          <w:szCs w:val="21"/>
        </w:rPr>
        <w:t>1.3  产品发生重大质量事故。</w:t>
      </w:r>
    </w:p>
    <w:p>
      <w:pPr>
        <w:spacing w:line="360" w:lineRule="auto"/>
        <w:outlineLvl w:val="0"/>
        <w:rPr>
          <w:rFonts w:ascii="宋体" w:hAnsi="宋体" w:cs="宋体"/>
          <w:color w:val="auto"/>
          <w:szCs w:val="21"/>
        </w:rPr>
      </w:pPr>
      <w:r>
        <w:rPr>
          <w:rFonts w:hint="eastAsia" w:ascii="宋体" w:hAnsi="宋体" w:cs="宋体"/>
          <w:color w:val="auto"/>
          <w:szCs w:val="21"/>
        </w:rPr>
        <w:t>1.4  产品批准文号被吊销。</w:t>
      </w:r>
    </w:p>
    <w:p>
      <w:pPr>
        <w:spacing w:line="360" w:lineRule="auto"/>
        <w:outlineLvl w:val="0"/>
        <w:rPr>
          <w:rFonts w:ascii="宋体" w:hAnsi="宋体" w:cs="宋体"/>
          <w:color w:val="auto"/>
          <w:szCs w:val="21"/>
        </w:rPr>
      </w:pPr>
      <w:r>
        <w:rPr>
          <w:rFonts w:hint="eastAsia" w:ascii="宋体" w:hAnsi="宋体" w:cs="宋体"/>
          <w:color w:val="auto"/>
          <w:szCs w:val="21"/>
        </w:rPr>
        <w:t>1.5  财政部门款项不到位。</w:t>
      </w:r>
    </w:p>
    <w:p>
      <w:pPr>
        <w:spacing w:line="360" w:lineRule="auto"/>
        <w:outlineLvl w:val="0"/>
        <w:rPr>
          <w:rFonts w:ascii="宋体" w:hAnsi="宋体" w:cs="宋体"/>
          <w:color w:val="auto"/>
          <w:szCs w:val="21"/>
        </w:rPr>
      </w:pPr>
      <w:r>
        <w:rPr>
          <w:rFonts w:hint="eastAsia" w:ascii="宋体" w:hAnsi="宋体" w:cs="宋体"/>
          <w:color w:val="auto"/>
          <w:szCs w:val="21"/>
        </w:rPr>
        <w:t>1.6  国家政策发生改变。</w:t>
      </w:r>
    </w:p>
    <w:p>
      <w:pPr>
        <w:numPr>
          <w:ilvl w:val="0"/>
          <w:numId w:val="20"/>
        </w:numPr>
        <w:spacing w:line="360" w:lineRule="auto"/>
        <w:jc w:val="both"/>
        <w:rPr>
          <w:rFonts w:ascii="宋体" w:hAnsi="宋体" w:cs="宋体"/>
          <w:color w:val="auto"/>
          <w:szCs w:val="21"/>
        </w:rPr>
      </w:pPr>
      <w:r>
        <w:rPr>
          <w:rFonts w:hint="eastAsia" w:ascii="宋体" w:hAnsi="宋体" w:cs="宋体"/>
          <w:color w:val="auto"/>
          <w:szCs w:val="21"/>
        </w:rPr>
        <w:t xml:space="preserve"> 合同因买方便利而解除或终止。</w:t>
      </w:r>
    </w:p>
    <w:p>
      <w:pPr>
        <w:numPr>
          <w:ilvl w:val="1"/>
          <w:numId w:val="20"/>
        </w:numPr>
        <w:spacing w:line="360" w:lineRule="auto"/>
        <w:jc w:val="both"/>
        <w:rPr>
          <w:rFonts w:ascii="宋体" w:hAnsi="宋体" w:cs="宋体"/>
          <w:color w:val="auto"/>
          <w:szCs w:val="21"/>
        </w:rPr>
      </w:pPr>
      <w:r>
        <w:rPr>
          <w:rFonts w:hint="eastAsia" w:ascii="宋体" w:hAnsi="宋体" w:cs="宋体"/>
          <w:color w:val="auto"/>
          <w:szCs w:val="21"/>
        </w:rPr>
        <w:t>买方可在任何时候出于自身的便利向卖方发出书面通知终止或部分终止合同，终止通知应明确该终止合同是出于买方的便利，并明确合同终止的程度，以及终止的生效日期。</w:t>
      </w:r>
    </w:p>
    <w:p>
      <w:pPr>
        <w:numPr>
          <w:ilvl w:val="1"/>
          <w:numId w:val="20"/>
        </w:numPr>
        <w:spacing w:line="360" w:lineRule="auto"/>
        <w:jc w:val="both"/>
        <w:rPr>
          <w:rFonts w:ascii="宋体" w:hAnsi="宋体" w:cs="宋体"/>
          <w:color w:val="auto"/>
          <w:szCs w:val="21"/>
        </w:rPr>
      </w:pPr>
      <w:r>
        <w:rPr>
          <w:rFonts w:hint="eastAsia" w:ascii="宋体" w:hAnsi="宋体" w:cs="宋体"/>
          <w:color w:val="auto"/>
          <w:szCs w:val="21"/>
        </w:rPr>
        <w:t>对卖方在收到终止通知后30天内已完成并准备装运的货物，买方应按合同价格和条款予以接收，对于剩下的货物，买方可：</w:t>
      </w:r>
    </w:p>
    <w:p>
      <w:pPr>
        <w:numPr>
          <w:ilvl w:val="2"/>
          <w:numId w:val="20"/>
        </w:numPr>
        <w:spacing w:line="360" w:lineRule="auto"/>
        <w:jc w:val="both"/>
        <w:rPr>
          <w:rFonts w:ascii="宋体" w:hAnsi="宋体" w:cs="宋体"/>
          <w:color w:val="auto"/>
          <w:szCs w:val="21"/>
        </w:rPr>
      </w:pPr>
      <w:r>
        <w:rPr>
          <w:rFonts w:hint="eastAsia" w:ascii="宋体" w:hAnsi="宋体" w:cs="宋体"/>
          <w:color w:val="auto"/>
          <w:szCs w:val="21"/>
        </w:rPr>
        <w:t>仅对部分货物按照原来合同价格和条款予以接受；</w:t>
      </w:r>
    </w:p>
    <w:p>
      <w:pPr>
        <w:numPr>
          <w:ilvl w:val="2"/>
          <w:numId w:val="20"/>
        </w:numPr>
        <w:spacing w:line="360" w:lineRule="auto"/>
        <w:jc w:val="both"/>
        <w:rPr>
          <w:rFonts w:ascii="宋体" w:hAnsi="宋体" w:cs="宋体"/>
          <w:color w:val="auto"/>
          <w:szCs w:val="21"/>
        </w:rPr>
      </w:pPr>
      <w:r>
        <w:rPr>
          <w:rFonts w:hint="eastAsia" w:ascii="宋体" w:hAnsi="宋体" w:cs="宋体"/>
          <w:color w:val="auto"/>
          <w:szCs w:val="21"/>
        </w:rPr>
        <w:t>取消对所剩货物的采购，并按双方商定的金额向卖方支付部分完成的货物和服务以及买方以前已采购的材料和部件的费用。</w:t>
      </w:r>
    </w:p>
    <w:p>
      <w:pPr>
        <w:numPr>
          <w:ilvl w:val="0"/>
          <w:numId w:val="20"/>
        </w:numPr>
        <w:spacing w:line="360" w:lineRule="auto"/>
        <w:jc w:val="both"/>
        <w:rPr>
          <w:rFonts w:ascii="宋体" w:hAnsi="宋体" w:cs="宋体"/>
          <w:color w:val="auto"/>
          <w:szCs w:val="21"/>
        </w:rPr>
      </w:pPr>
      <w:r>
        <w:rPr>
          <w:rFonts w:hint="eastAsia" w:ascii="宋体" w:hAnsi="宋体" w:cs="宋体"/>
          <w:color w:val="auto"/>
          <w:szCs w:val="21"/>
        </w:rPr>
        <w:t xml:space="preserve"> 违约违规终止合同</w:t>
      </w:r>
    </w:p>
    <w:p>
      <w:pPr>
        <w:spacing w:line="360" w:lineRule="auto"/>
        <w:ind w:left="576" w:leftChars="288"/>
        <w:jc w:val="both"/>
        <w:rPr>
          <w:rFonts w:ascii="宋体" w:hAnsi="宋体" w:cs="宋体"/>
          <w:color w:val="auto"/>
          <w:szCs w:val="21"/>
        </w:rPr>
      </w:pPr>
      <w:r>
        <w:rPr>
          <w:rFonts w:hint="eastAsia" w:ascii="宋体" w:hAnsi="宋体" w:cs="宋体"/>
          <w:color w:val="auto"/>
          <w:szCs w:val="21"/>
        </w:rPr>
        <w:t>在买方对卖方违约违规而采取的任何补救措施不受影响的情况下，买方可向卖方发出书面的违约通知书，提出终止部分或全部合同：</w:t>
      </w:r>
    </w:p>
    <w:p>
      <w:pPr>
        <w:numPr>
          <w:ilvl w:val="1"/>
          <w:numId w:val="20"/>
        </w:numPr>
        <w:spacing w:line="360" w:lineRule="auto"/>
        <w:jc w:val="both"/>
        <w:rPr>
          <w:rFonts w:ascii="宋体" w:hAnsi="宋体" w:cs="宋体"/>
          <w:color w:val="auto"/>
          <w:szCs w:val="21"/>
        </w:rPr>
      </w:pPr>
      <w:r>
        <w:rPr>
          <w:rFonts w:hint="eastAsia" w:ascii="宋体" w:hAnsi="宋体" w:cs="宋体"/>
          <w:color w:val="auto"/>
          <w:szCs w:val="21"/>
        </w:rPr>
        <w:t>如果卖方未能在合同规定的期限内提供货物（参见本合同有关逾期交货的条款）；</w:t>
      </w:r>
    </w:p>
    <w:p>
      <w:pPr>
        <w:numPr>
          <w:ilvl w:val="1"/>
          <w:numId w:val="20"/>
        </w:numPr>
        <w:spacing w:line="360" w:lineRule="auto"/>
        <w:jc w:val="both"/>
        <w:rPr>
          <w:rFonts w:ascii="宋体" w:hAnsi="宋体" w:cs="宋体"/>
          <w:color w:val="auto"/>
          <w:szCs w:val="21"/>
        </w:rPr>
      </w:pPr>
      <w:r>
        <w:rPr>
          <w:rFonts w:hint="eastAsia" w:ascii="宋体" w:hAnsi="宋体" w:cs="宋体"/>
          <w:color w:val="auto"/>
          <w:szCs w:val="21"/>
        </w:rPr>
        <w:t>如果卖方未能履行合同规定的其它任何义务；</w:t>
      </w:r>
    </w:p>
    <w:p>
      <w:pPr>
        <w:numPr>
          <w:ilvl w:val="1"/>
          <w:numId w:val="20"/>
        </w:numPr>
        <w:spacing w:line="360" w:lineRule="auto"/>
        <w:jc w:val="both"/>
        <w:rPr>
          <w:rFonts w:ascii="宋体" w:hAnsi="宋体" w:cs="宋体"/>
          <w:color w:val="auto"/>
          <w:szCs w:val="21"/>
        </w:rPr>
      </w:pPr>
      <w:r>
        <w:rPr>
          <w:rFonts w:hint="eastAsia" w:ascii="宋体" w:hAnsi="宋体" w:cs="宋体"/>
          <w:color w:val="auto"/>
          <w:szCs w:val="21"/>
        </w:rPr>
        <w:t>如果买方认为卖方在本合同的投标竞争和实施过程中有违反有关政府采购的法律、法规，涉嫌用不正当手段影响买方采购过程，包括谎报或隐瞒事实、损害买方利益、干扰买方、 评委、采购代理机构的招标、评标等行为。</w:t>
      </w:r>
    </w:p>
    <w:p>
      <w:pPr>
        <w:numPr>
          <w:ilvl w:val="0"/>
          <w:numId w:val="20"/>
        </w:numPr>
        <w:spacing w:line="360" w:lineRule="auto"/>
        <w:jc w:val="both"/>
        <w:rPr>
          <w:rFonts w:ascii="宋体" w:hAnsi="宋体" w:cs="宋体"/>
          <w:color w:val="auto"/>
          <w:szCs w:val="21"/>
        </w:rPr>
      </w:pPr>
      <w:r>
        <w:rPr>
          <w:rFonts w:hint="eastAsia" w:ascii="宋体" w:hAnsi="宋体" w:cs="宋体"/>
          <w:color w:val="auto"/>
          <w:szCs w:val="21"/>
        </w:rPr>
        <w:t xml:space="preserve"> 因卖方破产而终止合同</w:t>
      </w:r>
    </w:p>
    <w:p>
      <w:pPr>
        <w:spacing w:line="360" w:lineRule="auto"/>
        <w:ind w:left="542" w:leftChars="271"/>
        <w:jc w:val="both"/>
        <w:rPr>
          <w:rFonts w:ascii="宋体" w:hAnsi="宋体" w:cs="宋体"/>
          <w:color w:val="auto"/>
          <w:szCs w:val="21"/>
        </w:rPr>
      </w:pPr>
      <w:r>
        <w:rPr>
          <w:rFonts w:hint="eastAsia" w:ascii="宋体" w:hAnsi="宋体" w:cs="宋体"/>
          <w:color w:val="auto"/>
          <w:szCs w:val="21"/>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二十三、争端的解决</w:t>
      </w:r>
    </w:p>
    <w:p>
      <w:pPr>
        <w:numPr>
          <w:ilvl w:val="0"/>
          <w:numId w:val="21"/>
        </w:numPr>
        <w:tabs>
          <w:tab w:val="left" w:pos="540"/>
        </w:tabs>
        <w:spacing w:line="360" w:lineRule="auto"/>
        <w:jc w:val="both"/>
        <w:rPr>
          <w:rFonts w:ascii="宋体" w:hAnsi="宋体" w:cs="宋体"/>
          <w:color w:val="auto"/>
          <w:szCs w:val="21"/>
        </w:rPr>
      </w:pPr>
      <w:r>
        <w:rPr>
          <w:rFonts w:hint="eastAsia" w:ascii="宋体" w:hAnsi="宋体" w:cs="宋体"/>
          <w:color w:val="auto"/>
          <w:szCs w:val="21"/>
        </w:rPr>
        <w:t>凡与本合同有关的一切争议，买卖双方应首先通过友好协商方式解决，如经协商后仍不能达成协议时，任何一方可以向</w:t>
      </w:r>
      <w:r>
        <w:rPr>
          <w:rFonts w:hint="eastAsia" w:ascii="宋体" w:hAnsi="宋体" w:cs="宋体"/>
          <w:color w:val="auto"/>
          <w:szCs w:val="21"/>
          <w:lang w:eastAsia="zh-CN"/>
        </w:rPr>
        <w:t>双方</w:t>
      </w:r>
      <w:r>
        <w:rPr>
          <w:rFonts w:hint="eastAsia" w:ascii="宋体" w:hAnsi="宋体" w:cs="宋体"/>
          <w:color w:val="auto"/>
          <w:szCs w:val="21"/>
        </w:rPr>
        <w:t>所在地的人民法院提出诉讼。</w:t>
      </w:r>
    </w:p>
    <w:p>
      <w:pPr>
        <w:numPr>
          <w:ilvl w:val="0"/>
          <w:numId w:val="21"/>
        </w:numPr>
        <w:tabs>
          <w:tab w:val="left" w:pos="540"/>
        </w:tabs>
        <w:spacing w:line="360" w:lineRule="auto"/>
        <w:jc w:val="both"/>
        <w:rPr>
          <w:rFonts w:ascii="宋体" w:hAnsi="宋体" w:cs="宋体"/>
          <w:color w:val="auto"/>
          <w:szCs w:val="21"/>
        </w:rPr>
      </w:pPr>
      <w:r>
        <w:rPr>
          <w:rFonts w:hint="eastAsia" w:ascii="宋体" w:hAnsi="宋体" w:cs="宋体"/>
          <w:color w:val="auto"/>
          <w:szCs w:val="21"/>
        </w:rPr>
        <w:t>在法院审理期间，除提交法院审理的事项外，合同其他部分仍应继续履行</w:t>
      </w:r>
      <w:r>
        <w:rPr>
          <w:rFonts w:hint="eastAsia" w:ascii="宋体" w:hAnsi="宋体" w:cs="宋体"/>
          <w:color w:val="auto"/>
          <w:szCs w:val="21"/>
          <w:lang w:eastAsia="zh-CN"/>
        </w:rPr>
        <w:t>。</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二十四、适用法律</w:t>
      </w:r>
    </w:p>
    <w:p>
      <w:pPr>
        <w:numPr>
          <w:ilvl w:val="0"/>
          <w:numId w:val="22"/>
        </w:numPr>
        <w:tabs>
          <w:tab w:val="left" w:pos="540"/>
        </w:tabs>
        <w:spacing w:line="360" w:lineRule="auto"/>
        <w:ind w:hanging="1680"/>
        <w:jc w:val="both"/>
        <w:rPr>
          <w:rFonts w:ascii="宋体" w:hAnsi="宋体" w:cs="宋体"/>
          <w:color w:val="auto"/>
          <w:szCs w:val="21"/>
        </w:rPr>
      </w:pPr>
      <w:r>
        <w:rPr>
          <w:rFonts w:hint="eastAsia" w:ascii="宋体" w:hAnsi="宋体" w:cs="宋体"/>
          <w:color w:val="auto"/>
          <w:szCs w:val="21"/>
        </w:rPr>
        <w:t>本合同按照中华人民共和国的法律进行解释。</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二十五、通知</w:t>
      </w:r>
    </w:p>
    <w:p>
      <w:pPr>
        <w:numPr>
          <w:ilvl w:val="0"/>
          <w:numId w:val="23"/>
        </w:numPr>
        <w:spacing w:line="360" w:lineRule="auto"/>
        <w:jc w:val="both"/>
        <w:rPr>
          <w:rFonts w:ascii="宋体" w:hAnsi="宋体" w:cs="宋体"/>
          <w:color w:val="auto"/>
          <w:szCs w:val="21"/>
        </w:rPr>
      </w:pPr>
      <w:r>
        <w:rPr>
          <w:rFonts w:hint="eastAsia" w:ascii="宋体" w:hAnsi="宋体" w:cs="宋体"/>
          <w:color w:val="auto"/>
          <w:szCs w:val="21"/>
        </w:rPr>
        <w:t>本合同一方给对方的通知应用书面形式送达《合同资料表》规定的对方的地址，电传或传真要经对方的书面形式确认，以电报形式通知的，以邮电局发出电报的第二天视为送达。</w:t>
      </w:r>
    </w:p>
    <w:p>
      <w:pPr>
        <w:numPr>
          <w:ilvl w:val="0"/>
          <w:numId w:val="23"/>
        </w:numPr>
        <w:spacing w:line="360" w:lineRule="auto"/>
        <w:jc w:val="both"/>
        <w:rPr>
          <w:rFonts w:ascii="宋体" w:hAnsi="宋体" w:cs="宋体"/>
          <w:color w:val="auto"/>
          <w:szCs w:val="21"/>
        </w:rPr>
      </w:pPr>
      <w:r>
        <w:rPr>
          <w:rFonts w:hint="eastAsia" w:ascii="宋体" w:hAnsi="宋体" w:cs="宋体"/>
          <w:color w:val="auto"/>
          <w:szCs w:val="21"/>
        </w:rPr>
        <w:t>通知以送到日期或通知书的生效日期为生效日期，两者中以较迟的日期为准。</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二十六、税和关税</w:t>
      </w:r>
    </w:p>
    <w:p>
      <w:pPr>
        <w:numPr>
          <w:ilvl w:val="1"/>
          <w:numId w:val="19"/>
        </w:numPr>
        <w:spacing w:line="360" w:lineRule="auto"/>
        <w:jc w:val="both"/>
        <w:rPr>
          <w:rFonts w:ascii="宋体" w:hAnsi="宋体" w:cs="宋体"/>
          <w:color w:val="auto"/>
          <w:szCs w:val="21"/>
        </w:rPr>
      </w:pPr>
      <w:r>
        <w:rPr>
          <w:rFonts w:hint="eastAsia" w:ascii="宋体" w:hAnsi="宋体" w:cs="宋体"/>
          <w:color w:val="auto"/>
          <w:szCs w:val="21"/>
        </w:rPr>
        <w:t xml:space="preserve"> 根据中华人民共和国现行税法的有关规定执行。</w:t>
      </w:r>
    </w:p>
    <w:p>
      <w:pPr>
        <w:spacing w:line="360" w:lineRule="auto"/>
        <w:jc w:val="both"/>
        <w:outlineLvl w:val="0"/>
        <w:rPr>
          <w:rFonts w:ascii="宋体" w:hAnsi="宋体" w:cs="宋体"/>
          <w:b/>
          <w:color w:val="auto"/>
          <w:szCs w:val="21"/>
        </w:rPr>
      </w:pPr>
      <w:r>
        <w:rPr>
          <w:rFonts w:hint="eastAsia" w:ascii="宋体" w:hAnsi="宋体" w:cs="宋体"/>
          <w:b/>
          <w:color w:val="auto"/>
          <w:szCs w:val="21"/>
        </w:rPr>
        <w:t>二十七、合同生效</w:t>
      </w:r>
    </w:p>
    <w:p>
      <w:pPr>
        <w:tabs>
          <w:tab w:val="left" w:pos="0"/>
        </w:tabs>
        <w:spacing w:line="360" w:lineRule="auto"/>
        <w:jc w:val="both"/>
        <w:rPr>
          <w:rFonts w:ascii="宋体" w:hAnsi="宋体" w:cs="宋体"/>
          <w:color w:val="auto"/>
          <w:szCs w:val="21"/>
        </w:rPr>
      </w:pPr>
      <w:r>
        <w:rPr>
          <w:rFonts w:hint="eastAsia" w:ascii="宋体" w:hAnsi="宋体" w:cs="宋体"/>
          <w:color w:val="auto"/>
          <w:szCs w:val="21"/>
        </w:rPr>
        <w:t>合同经双方授权代表签字盖章，且买方收到卖方提交的履约保证金后生效，合同签署日期以较迟签注的日期为准。</w:t>
      </w:r>
    </w:p>
    <w:p>
      <w:pPr>
        <w:spacing w:line="360" w:lineRule="auto"/>
        <w:ind w:left="840" w:hanging="840"/>
        <w:jc w:val="both"/>
        <w:outlineLvl w:val="0"/>
        <w:rPr>
          <w:rFonts w:ascii="宋体" w:hAnsi="宋体" w:cs="宋体"/>
          <w:b/>
          <w:color w:val="auto"/>
          <w:szCs w:val="21"/>
        </w:rPr>
      </w:pPr>
      <w:r>
        <w:rPr>
          <w:rFonts w:hint="eastAsia" w:ascii="宋体" w:hAnsi="宋体" w:cs="宋体"/>
          <w:b/>
          <w:color w:val="auto"/>
          <w:szCs w:val="21"/>
        </w:rPr>
        <w:t>二十八、其它</w:t>
      </w:r>
    </w:p>
    <w:p>
      <w:pPr>
        <w:numPr>
          <w:ilvl w:val="0"/>
          <w:numId w:val="24"/>
        </w:numPr>
        <w:spacing w:line="360" w:lineRule="auto"/>
        <w:jc w:val="both"/>
        <w:rPr>
          <w:rFonts w:ascii="宋体" w:hAnsi="宋体" w:cs="宋体"/>
          <w:color w:val="auto"/>
          <w:szCs w:val="21"/>
        </w:rPr>
      </w:pPr>
      <w:r>
        <w:rPr>
          <w:rFonts w:hint="eastAsia" w:ascii="宋体" w:hAnsi="宋体" w:cs="宋体"/>
          <w:color w:val="auto"/>
          <w:szCs w:val="21"/>
        </w:rPr>
        <w:t>成交通知书、投标文件、招标文件及本合同之所有附件均为本合同的有效组成部分，与本合同具有同样法律效力，解释的顺序以文件生成时间在后的为准。</w:t>
      </w:r>
    </w:p>
    <w:p>
      <w:pPr>
        <w:numPr>
          <w:ilvl w:val="0"/>
          <w:numId w:val="24"/>
        </w:numPr>
        <w:spacing w:line="360" w:lineRule="auto"/>
        <w:jc w:val="both"/>
        <w:rPr>
          <w:rFonts w:ascii="宋体" w:hAnsi="宋体" w:cs="宋体"/>
          <w:color w:val="auto"/>
          <w:szCs w:val="21"/>
        </w:rPr>
      </w:pPr>
      <w:r>
        <w:rPr>
          <w:rFonts w:hint="eastAsia" w:ascii="宋体" w:hAnsi="宋体" w:cs="宋体"/>
          <w:color w:val="auto"/>
          <w:szCs w:val="21"/>
        </w:rPr>
        <w:t>在执行本合同的过程中，所有经买卖双方签署确认的文件（包括会议纪要、补充协议、合同修改书、往来信函等）均为本合同的有效组成部分，其生效日期为双方均签字盖章或确认之日期。</w:t>
      </w:r>
    </w:p>
    <w:p>
      <w:pPr>
        <w:numPr>
          <w:ilvl w:val="0"/>
          <w:numId w:val="24"/>
        </w:numPr>
        <w:spacing w:line="360" w:lineRule="auto"/>
        <w:jc w:val="both"/>
        <w:rPr>
          <w:rFonts w:ascii="宋体" w:hAnsi="宋体" w:cs="宋体"/>
          <w:color w:val="auto"/>
          <w:szCs w:val="21"/>
        </w:rPr>
      </w:pPr>
      <w:r>
        <w:rPr>
          <w:rFonts w:hint="eastAsia" w:ascii="宋体" w:hAnsi="宋体" w:cs="宋体"/>
          <w:color w:val="auto"/>
          <w:szCs w:val="21"/>
        </w:rPr>
        <w:t>除买方事先以书面形式确认同意外，卖方不得部分或全部转让其应履行的合同项下的义务。</w:t>
      </w:r>
    </w:p>
    <w:p>
      <w:pPr>
        <w:numPr>
          <w:ilvl w:val="0"/>
          <w:numId w:val="24"/>
        </w:numPr>
        <w:spacing w:line="360" w:lineRule="auto"/>
        <w:jc w:val="both"/>
        <w:rPr>
          <w:rFonts w:ascii="宋体" w:hAnsi="宋体" w:cs="宋体"/>
          <w:b/>
          <w:bCs/>
          <w:color w:val="auto"/>
          <w:szCs w:val="21"/>
        </w:rPr>
      </w:pPr>
      <w:r>
        <w:rPr>
          <w:rFonts w:hint="eastAsia" w:ascii="宋体" w:hAnsi="宋体" w:cs="宋体"/>
          <w:b w:val="0"/>
          <w:bCs w:val="0"/>
          <w:color w:val="auto"/>
          <w:szCs w:val="21"/>
        </w:rPr>
        <w:t>本合同</w:t>
      </w:r>
      <w:r>
        <w:rPr>
          <w:rFonts w:hint="eastAsia" w:ascii="宋体" w:hAnsi="宋体" w:cs="宋体"/>
          <w:color w:val="auto"/>
          <w:szCs w:val="21"/>
        </w:rPr>
        <w:t>一式　　份，买方　　份、卖方　　份、</w:t>
      </w:r>
      <w:r>
        <w:rPr>
          <w:rFonts w:hint="eastAsia" w:ascii="宋体" w:hAnsi="宋体" w:cs="宋体"/>
          <w:b/>
          <w:bCs/>
          <w:color w:val="auto"/>
          <w:szCs w:val="21"/>
        </w:rPr>
        <w:t>采购代理机构一份，政府采购监管部门一份。</w:t>
      </w:r>
    </w:p>
    <w:p>
      <w:pPr>
        <w:numPr>
          <w:ilvl w:val="0"/>
          <w:numId w:val="24"/>
        </w:numPr>
        <w:spacing w:line="360" w:lineRule="auto"/>
        <w:jc w:val="both"/>
        <w:rPr>
          <w:rFonts w:ascii="宋体" w:hAnsi="宋体" w:cs="宋体"/>
          <w:color w:val="auto"/>
          <w:szCs w:val="21"/>
        </w:rPr>
      </w:pPr>
      <w:r>
        <w:rPr>
          <w:rFonts w:hint="eastAsia" w:ascii="宋体" w:hAnsi="宋体" w:cs="宋体"/>
          <w:color w:val="auto"/>
          <w:szCs w:val="21"/>
        </w:rPr>
        <w:t>本合同合计    页A4纸张，缺页之合同为无效合同。</w:t>
      </w:r>
    </w:p>
    <w:p>
      <w:pPr>
        <w:tabs>
          <w:tab w:val="left" w:pos="4500"/>
        </w:tabs>
        <w:spacing w:line="360" w:lineRule="auto"/>
        <w:jc w:val="both"/>
        <w:rPr>
          <w:rFonts w:hint="eastAsia" w:ascii="宋体" w:hAnsi="宋体" w:cs="宋体"/>
          <w:color w:val="auto"/>
          <w:szCs w:val="21"/>
        </w:rPr>
      </w:pPr>
    </w:p>
    <w:p>
      <w:pPr>
        <w:tabs>
          <w:tab w:val="left" w:pos="4500"/>
        </w:tabs>
        <w:spacing w:line="360" w:lineRule="auto"/>
        <w:jc w:val="both"/>
        <w:rPr>
          <w:rFonts w:hint="eastAsia" w:ascii="宋体" w:hAnsi="宋体" w:cs="宋体"/>
          <w:color w:val="auto"/>
          <w:szCs w:val="21"/>
        </w:rPr>
      </w:pP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买方（盖章）：</w:t>
      </w:r>
      <w:r>
        <w:rPr>
          <w:rFonts w:hint="eastAsia" w:ascii="宋体" w:hAnsi="宋体" w:cs="宋体"/>
          <w:color w:val="auto"/>
          <w:szCs w:val="21"/>
        </w:rPr>
        <w:tab/>
      </w:r>
      <w:r>
        <w:rPr>
          <w:rFonts w:hint="eastAsia" w:ascii="宋体" w:hAnsi="宋体" w:cs="宋体"/>
          <w:color w:val="auto"/>
          <w:szCs w:val="21"/>
        </w:rPr>
        <w:t>卖方（盖章）：</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买方代表（签字）：</w:t>
      </w:r>
      <w:r>
        <w:rPr>
          <w:rFonts w:hint="eastAsia" w:ascii="宋体" w:hAnsi="宋体" w:cs="宋体"/>
          <w:color w:val="auto"/>
          <w:szCs w:val="21"/>
        </w:rPr>
        <w:tab/>
      </w:r>
      <w:r>
        <w:rPr>
          <w:rFonts w:hint="eastAsia" w:ascii="宋体" w:hAnsi="宋体" w:cs="宋体"/>
          <w:color w:val="auto"/>
          <w:szCs w:val="21"/>
        </w:rPr>
        <w:t>卖方法定代表（签字）：</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rPr>
        <w:tab/>
      </w:r>
      <w:r>
        <w:rPr>
          <w:rFonts w:hint="eastAsia" w:ascii="宋体" w:hAnsi="宋体" w:cs="宋体"/>
          <w:color w:val="auto"/>
          <w:szCs w:val="21"/>
        </w:rPr>
        <w:t>地     址：</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rPr>
        <w:tab/>
      </w:r>
      <w:r>
        <w:rPr>
          <w:rFonts w:hint="eastAsia" w:ascii="宋体" w:hAnsi="宋体" w:cs="宋体"/>
          <w:color w:val="auto"/>
          <w:szCs w:val="21"/>
        </w:rPr>
        <w:t>邮政编码：</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rPr>
        <w:tab/>
      </w:r>
      <w:r>
        <w:rPr>
          <w:rFonts w:hint="eastAsia" w:ascii="宋体" w:hAnsi="宋体" w:cs="宋体"/>
          <w:color w:val="auto"/>
          <w:szCs w:val="21"/>
        </w:rPr>
        <w:t>电     话：</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rPr>
        <w:tab/>
      </w:r>
      <w:r>
        <w:rPr>
          <w:rFonts w:hint="eastAsia" w:ascii="宋体" w:hAnsi="宋体" w:cs="宋体"/>
          <w:color w:val="auto"/>
          <w:szCs w:val="21"/>
        </w:rPr>
        <w:t>传     真：</w:t>
      </w:r>
    </w:p>
    <w:p>
      <w:pPr>
        <w:tabs>
          <w:tab w:val="left" w:pos="4500"/>
        </w:tabs>
        <w:spacing w:line="360" w:lineRule="auto"/>
        <w:jc w:val="both"/>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rPr>
        <w:tab/>
      </w:r>
      <w:r>
        <w:rPr>
          <w:rFonts w:hint="eastAsia" w:ascii="宋体" w:hAnsi="宋体" w:cs="宋体"/>
          <w:color w:val="auto"/>
          <w:szCs w:val="21"/>
        </w:rPr>
        <w:t>开户银行：</w:t>
      </w:r>
    </w:p>
    <w:p>
      <w:pPr>
        <w:spacing w:line="360" w:lineRule="auto"/>
        <w:jc w:val="both"/>
        <w:rPr>
          <w:rFonts w:ascii="黑体" w:eastAsia="黑体"/>
          <w:b/>
          <w:color w:val="auto"/>
          <w:sz w:val="44"/>
        </w:rPr>
      </w:pPr>
      <w:r>
        <w:rPr>
          <w:rFonts w:hint="eastAsia" w:ascii="宋体" w:hAnsi="宋体" w:cs="宋体"/>
          <w:color w:val="auto"/>
          <w:szCs w:val="18"/>
        </w:rPr>
        <w:t xml:space="preserve">开户账号：                        </w:t>
      </w:r>
      <w:r>
        <w:rPr>
          <w:rFonts w:hint="eastAsia" w:ascii="宋体" w:hAnsi="宋体" w:cs="宋体"/>
          <w:color w:val="auto"/>
          <w:szCs w:val="18"/>
        </w:rPr>
        <w:tab/>
      </w:r>
      <w:r>
        <w:rPr>
          <w:rFonts w:hint="eastAsia" w:ascii="宋体" w:hAnsi="宋体" w:cs="宋体"/>
          <w:color w:val="auto"/>
          <w:szCs w:val="18"/>
          <w:lang w:val="en-US" w:eastAsia="zh-CN"/>
        </w:rPr>
        <w:t xml:space="preserve">       </w:t>
      </w:r>
      <w:r>
        <w:rPr>
          <w:rFonts w:hint="eastAsia" w:ascii="宋体" w:hAnsi="宋体" w:cs="宋体"/>
          <w:color w:val="auto"/>
          <w:szCs w:val="18"/>
        </w:rPr>
        <w:t>开户帐号：</w:t>
      </w:r>
    </w:p>
    <w:p>
      <w:pPr>
        <w:spacing w:line="360" w:lineRule="auto"/>
        <w:jc w:val="center"/>
        <w:rPr>
          <w:rFonts w:ascii="黑体" w:eastAsia="黑体"/>
          <w:b/>
          <w:color w:val="auto"/>
          <w:sz w:val="44"/>
        </w:rPr>
      </w:pPr>
    </w:p>
    <w:p>
      <w:pPr>
        <w:rPr>
          <w:color w:val="auto"/>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center"/>
        <w:rPr>
          <w:rFonts w:hint="eastAsia" w:ascii="宋体" w:hAnsi="宋体" w:cs="宋体"/>
          <w:b/>
          <w:bCs/>
          <w:color w:val="auto"/>
          <w:sz w:val="32"/>
          <w:szCs w:val="32"/>
          <w:highlight w:val="none"/>
          <w:lang w:eastAsia="zh-CN"/>
        </w:rPr>
      </w:pPr>
    </w:p>
    <w:p>
      <w:pPr>
        <w:jc w:val="both"/>
        <w:rPr>
          <w:rFonts w:hint="eastAsia" w:ascii="宋体" w:hAnsi="宋体" w:cs="宋体"/>
          <w:b/>
          <w:bCs/>
          <w:color w:val="auto"/>
          <w:sz w:val="32"/>
          <w:szCs w:val="32"/>
          <w:highlight w:val="none"/>
          <w:lang w:eastAsia="zh-CN"/>
        </w:rPr>
      </w:pPr>
    </w:p>
    <w:p>
      <w:pPr>
        <w:pStyle w:val="29"/>
        <w:jc w:val="center"/>
        <w:rPr>
          <w:rFonts w:hint="eastAsia" w:ascii="宋体" w:hAnsi="宋体" w:eastAsia="宋体" w:cs="宋体"/>
          <w:b/>
          <w:bCs/>
          <w:color w:val="auto"/>
          <w:sz w:val="32"/>
          <w:szCs w:val="32"/>
          <w:lang w:val="en-US" w:eastAsia="zh-CN"/>
        </w:rPr>
      </w:pPr>
      <w:r>
        <w:rPr>
          <w:rFonts w:hint="eastAsia" w:ascii="宋体" w:hAnsi="宋体" w:eastAsia="宋体" w:cs="宋体"/>
          <w:color w:val="auto"/>
          <w:kern w:val="44"/>
          <w:highlight w:val="none"/>
          <w:lang w:eastAsia="zh-CN"/>
        </w:rPr>
        <w:t>第三章</w:t>
      </w:r>
      <w:r>
        <w:rPr>
          <w:rFonts w:hint="eastAsia" w:ascii="宋体" w:hAnsi="宋体" w:eastAsia="宋体" w:cs="宋体"/>
          <w:color w:val="auto"/>
          <w:kern w:val="44"/>
          <w:highlight w:val="none"/>
          <w:lang w:val="en-US" w:eastAsia="zh-CN"/>
        </w:rPr>
        <w:t xml:space="preserve">  </w:t>
      </w:r>
      <w:r>
        <w:rPr>
          <w:rFonts w:hint="eastAsia" w:ascii="宋体" w:hAnsi="宋体" w:eastAsia="宋体" w:cs="宋体"/>
          <w:color w:val="auto"/>
          <w:kern w:val="44"/>
          <w:highlight w:val="none"/>
        </w:rPr>
        <w:t>用户需求书</w:t>
      </w:r>
    </w:p>
    <w:p>
      <w:pPr>
        <w:snapToGri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2021年罗定市农产品质量安全监督检测站仪器设备采购项目</w:t>
      </w:r>
    </w:p>
    <w:p>
      <w:pPr>
        <w:snapToGrid w:val="0"/>
        <w:spacing w:line="360" w:lineRule="auto"/>
        <w:rPr>
          <w:rFonts w:hint="eastAsia" w:ascii="宋体" w:hAnsi="宋体"/>
          <w:b/>
          <w:bCs/>
          <w:color w:val="auto"/>
          <w:sz w:val="28"/>
          <w:szCs w:val="28"/>
        </w:rPr>
      </w:pPr>
    </w:p>
    <w:p>
      <w:pPr>
        <w:snapToGrid w:val="0"/>
        <w:spacing w:line="360" w:lineRule="auto"/>
        <w:rPr>
          <w:rFonts w:hint="eastAsia" w:ascii="宋体" w:hAnsi="宋体"/>
          <w:b/>
          <w:bCs/>
          <w:color w:val="auto"/>
          <w:sz w:val="28"/>
          <w:szCs w:val="28"/>
        </w:rPr>
      </w:pPr>
      <w:r>
        <w:rPr>
          <w:rFonts w:hint="eastAsia" w:ascii="宋体" w:hAnsi="宋体"/>
          <w:b/>
          <w:bCs/>
          <w:color w:val="auto"/>
          <w:sz w:val="28"/>
          <w:szCs w:val="28"/>
        </w:rPr>
        <w:t>一、项目概况</w:t>
      </w:r>
    </w:p>
    <w:p>
      <w:pPr>
        <w:numPr>
          <w:ilvl w:val="0"/>
          <w:numId w:val="25"/>
        </w:numPr>
        <w:snapToGrid w:val="0"/>
        <w:spacing w:line="360" w:lineRule="auto"/>
        <w:ind w:left="425" w:leftChars="0" w:hanging="425" w:firstLineChars="0"/>
        <w:rPr>
          <w:rFonts w:hint="eastAsia" w:ascii="宋体" w:hAnsi="宋体" w:eastAsia="宋体" w:cs="宋体"/>
          <w:sz w:val="21"/>
          <w:szCs w:val="21"/>
        </w:rPr>
      </w:pPr>
      <w:r>
        <w:rPr>
          <w:rFonts w:hint="eastAsia" w:ascii="宋体" w:hAnsi="宋体"/>
          <w:color w:val="auto"/>
          <w:sz w:val="21"/>
          <w:szCs w:val="22"/>
        </w:rPr>
        <w:t>项目名称：</w:t>
      </w:r>
      <w:r>
        <w:rPr>
          <w:rFonts w:hint="eastAsia" w:ascii="宋体" w:hAnsi="宋体"/>
          <w:color w:val="auto"/>
          <w:sz w:val="21"/>
          <w:szCs w:val="22"/>
          <w:lang w:val="en-US" w:eastAsia="zh-CN"/>
        </w:rPr>
        <w:t>2021年罗定市农产品质量安全监督检测站仪器设备采购项目</w:t>
      </w:r>
    </w:p>
    <w:p>
      <w:pPr>
        <w:numPr>
          <w:ilvl w:val="0"/>
          <w:numId w:val="25"/>
        </w:numPr>
        <w:snapToGrid w:val="0"/>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color w:val="auto"/>
          <w:sz w:val="21"/>
          <w:szCs w:val="21"/>
        </w:rPr>
        <w:t>项目预算金额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0.00元</w:t>
      </w:r>
    </w:p>
    <w:p>
      <w:pPr>
        <w:numPr>
          <w:ilvl w:val="0"/>
          <w:numId w:val="0"/>
        </w:numPr>
        <w:snapToGrid w:val="0"/>
        <w:spacing w:line="360" w:lineRule="auto"/>
        <w:ind w:leftChars="0"/>
        <w:rPr>
          <w:rFonts w:hint="eastAsia" w:ascii="宋体" w:hAnsi="宋体"/>
          <w:b/>
          <w:bCs/>
          <w:color w:val="auto"/>
          <w:sz w:val="28"/>
          <w:szCs w:val="28"/>
          <w:lang w:eastAsia="zh-CN"/>
        </w:rPr>
      </w:pPr>
      <w:r>
        <w:rPr>
          <w:rFonts w:hint="eastAsia" w:ascii="宋体" w:hAnsi="宋体"/>
          <w:b/>
          <w:bCs/>
          <w:color w:val="auto"/>
          <w:sz w:val="28"/>
          <w:szCs w:val="28"/>
          <w:lang w:eastAsia="zh-CN"/>
        </w:rPr>
        <w:t>二、项目设备清单及详细技术参数</w:t>
      </w:r>
    </w:p>
    <w:tbl>
      <w:tblPr>
        <w:tblStyle w:val="32"/>
        <w:tblW w:w="10077"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34"/>
        <w:gridCol w:w="5534"/>
        <w:gridCol w:w="12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序号</w:t>
            </w:r>
          </w:p>
        </w:tc>
        <w:tc>
          <w:tcPr>
            <w:tcW w:w="1634"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产品</w:t>
            </w:r>
          </w:p>
        </w:tc>
        <w:tc>
          <w:tcPr>
            <w:tcW w:w="5534"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技术规格</w:t>
            </w:r>
          </w:p>
        </w:tc>
        <w:tc>
          <w:tcPr>
            <w:tcW w:w="1200"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94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高压减压器</w:t>
            </w:r>
          </w:p>
        </w:tc>
        <w:tc>
          <w:tcPr>
            <w:tcW w:w="5534" w:type="dxa"/>
            <w:vAlign w:val="center"/>
          </w:tcPr>
          <w:p>
            <w:pPr>
              <w:widowControl/>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rPr>
              <w:t>一级，双表，母体材质316L。氩气，氮气，氢气，空气</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4</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高压减压器</w:t>
            </w:r>
          </w:p>
        </w:tc>
        <w:tc>
          <w:tcPr>
            <w:tcW w:w="5534" w:type="dxa"/>
            <w:vAlign w:val="center"/>
          </w:tcPr>
          <w:p>
            <w:pPr>
              <w:widowControl/>
              <w:jc w:val="left"/>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rPr>
              <w:t>一级，双表，母体材质316L。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外螺纹卡套接头，316L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5</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外螺纹接头，316L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5</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回火防止器</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回火防止器，母体材质316L，乙炔氢气用</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软管</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高压金属软管，316L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8</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专用钢瓶接头，316L,氩气，氮气，空气</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专用钢瓶接头，316L,氢气</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专用钢瓶接头，316L,乙炔</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球阀</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输出球阀，316L,含乙炔氢气2个排空阀</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7</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三通接头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三通接头，316L，排空用</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底板</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一级阀安装底板，304SS</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5</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减压阀</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 xml:space="preserve">二级减压阀，单表，316L。原子吸收（氩气+乙炔）4组*2=8个。 气相液相 (N2+H2+AIR) 8组*3=24个. </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28</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减压阀</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二级减压阀，316L，乙炔专用</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4</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截止阀</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终端截止阀</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二级阀接头，316L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底板</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二级阀安装底板，304SS</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终端转换接头</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气管</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316L无缝内外抛光管，BA级（含损耗）</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230</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管码</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铝合金管码</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接头</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三通接头，316L</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30</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氢气报警器</w:t>
            </w:r>
          </w:p>
        </w:tc>
        <w:tc>
          <w:tcPr>
            <w:tcW w:w="5534"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可燃氢气泄露浓度报警器，氢气专用</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原装进口高性能传感器，测量精度高，重复性好，使用寿命长；</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采用独立16位AD芯片，4层电路板设计，对弱信号及抗干扰能力更强；</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仪表盘显示界面设计，读数美观大方，体现人性化细节设计；</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mg/m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、ppm、VOL、LEL多种单位可选择；</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采用嵌入式32位超低功耗处理器，配以独有信号处理算法，响应速度快，稳定；</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防高浓度气体冲击的自动保护功能，具有恢复出厂设置，防止误操作；</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仪器配置红外遥控器，通过遥控器操作，无须开盖，简单方便；</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三线制4～20mA、 RS485信号输出可选，继电器输出;</w:t>
            </w:r>
          </w:p>
          <w:p>
            <w:pPr>
              <w:numPr>
                <w:ilvl w:val="0"/>
                <w:numId w:val="26"/>
              </w:numPr>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两个电缆进线口，方便现场安装； </w:t>
            </w:r>
          </w:p>
          <w:p>
            <w:pPr>
              <w:numPr>
                <w:ilvl w:val="0"/>
                <w:numId w:val="26"/>
              </w:numPr>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rPr>
              <w:t xml:space="preserve"> 一流的机械设计，气室采用军工品质的高强度铝型材，耐磨耐腐浊，适用于复杂恶劣的工业环境，合理科学的气室设计，保证传感器实时监测的准确性；</w:t>
            </w:r>
          </w:p>
          <w:p>
            <w:pPr>
              <w:numPr>
                <w:ilvl w:val="0"/>
                <w:numId w:val="26"/>
              </w:numPr>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rPr>
              <w:t>防爆等级为Exd II CT6，国家防爆电气检验中心认证</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测量范围：</w:t>
            </w:r>
            <w:r>
              <w:rPr>
                <w:rFonts w:hint="eastAsia" w:ascii="宋体" w:hAnsi="宋体" w:eastAsia="宋体" w:cs="宋体"/>
                <w:sz w:val="21"/>
                <w:szCs w:val="21"/>
              </w:rPr>
              <w:t>0-100%LEL</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分 辨 率：</w:t>
            </w:r>
            <w:r>
              <w:rPr>
                <w:rFonts w:hint="eastAsia" w:ascii="宋体" w:hAnsi="宋体" w:eastAsia="宋体" w:cs="宋体"/>
                <w:sz w:val="21"/>
                <w:szCs w:val="21"/>
              </w:rPr>
              <w:t>1%LEL</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采样方式：</w:t>
            </w:r>
            <w:r>
              <w:rPr>
                <w:rFonts w:hint="eastAsia" w:ascii="宋体" w:hAnsi="宋体" w:eastAsia="宋体" w:cs="宋体"/>
                <w:sz w:val="21"/>
                <w:szCs w:val="21"/>
              </w:rPr>
              <w:t>自由扩散式——在线式连续检测，自由扩散式的检测方式；</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安装方式：</w:t>
            </w:r>
            <w:r>
              <w:rPr>
                <w:rFonts w:hint="eastAsia" w:ascii="宋体" w:hAnsi="宋体" w:eastAsia="宋体" w:cs="宋体"/>
                <w:sz w:val="21"/>
                <w:szCs w:val="21"/>
              </w:rPr>
              <w:t>壁挂式；管道式（分抱管式、插管式，管道式外螺纹:M45X1.5mm，可选配管道转接螺丝接头，可焊接）;</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示值误差：</w:t>
            </w:r>
            <w:r>
              <w:rPr>
                <w:rFonts w:hint="eastAsia" w:ascii="宋体" w:hAnsi="宋体" w:eastAsia="宋体" w:cs="宋体"/>
                <w:sz w:val="21"/>
                <w:szCs w:val="21"/>
              </w:rPr>
              <w:t>≤±3% FS</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重 复 性：</w:t>
            </w:r>
            <w:r>
              <w:rPr>
                <w:rFonts w:hint="eastAsia" w:ascii="宋体" w:hAnsi="宋体" w:eastAsia="宋体" w:cs="宋体"/>
                <w:sz w:val="21"/>
                <w:szCs w:val="21"/>
              </w:rPr>
              <w:t xml:space="preserve">≤±1% </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零点漂移：</w:t>
            </w:r>
            <w:r>
              <w:rPr>
                <w:rFonts w:hint="eastAsia" w:ascii="宋体" w:hAnsi="宋体" w:eastAsia="宋体" w:cs="宋体"/>
                <w:sz w:val="21"/>
                <w:szCs w:val="21"/>
              </w:rPr>
              <w:t>≤±1%（FS/年）</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响应时间：</w:t>
            </w:r>
            <w:r>
              <w:rPr>
                <w:rFonts w:hint="eastAsia" w:ascii="宋体" w:hAnsi="宋体" w:eastAsia="宋体" w:cs="宋体"/>
                <w:sz w:val="21"/>
                <w:szCs w:val="21"/>
              </w:rPr>
              <w:t>≤20秒（T90），（更高要求根据传感器性能）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恢复时间：</w:t>
            </w:r>
            <w:r>
              <w:rPr>
                <w:rFonts w:hint="eastAsia" w:ascii="宋体" w:hAnsi="宋体" w:eastAsia="宋体" w:cs="宋体"/>
                <w:sz w:val="21"/>
                <w:szCs w:val="21"/>
              </w:rPr>
              <w:t>≤10秒 （更高要求根据传感器性能）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供电电源：</w:t>
            </w:r>
            <w:r>
              <w:rPr>
                <w:rFonts w:hint="eastAsia" w:ascii="宋体" w:hAnsi="宋体" w:eastAsia="宋体" w:cs="宋体"/>
                <w:sz w:val="21"/>
                <w:szCs w:val="21"/>
              </w:rPr>
              <w:t>12</w:t>
            </w:r>
            <w:r>
              <w:rPr>
                <w:rFonts w:hint="eastAsia" w:ascii="宋体" w:hAnsi="宋体" w:eastAsia="宋体" w:cs="宋体"/>
                <w:kern w:val="0"/>
                <w:sz w:val="21"/>
                <w:szCs w:val="21"/>
              </w:rPr>
              <w:t>～</w:t>
            </w:r>
            <w:r>
              <w:rPr>
                <w:rFonts w:hint="eastAsia" w:ascii="宋体" w:hAnsi="宋体" w:eastAsia="宋体" w:cs="宋体"/>
                <w:sz w:val="21"/>
                <w:szCs w:val="21"/>
              </w:rPr>
              <w:t>30VDC</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功    率：</w:t>
            </w:r>
            <w:r>
              <w:rPr>
                <w:rFonts w:hint="eastAsia" w:ascii="宋体" w:hAnsi="宋体" w:eastAsia="宋体" w:cs="宋体"/>
                <w:sz w:val="21"/>
                <w:szCs w:val="21"/>
              </w:rPr>
              <w:t>≤2.5 W（DC24V）</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环境压力：</w:t>
            </w:r>
            <w:r>
              <w:rPr>
                <w:rFonts w:hint="eastAsia" w:ascii="宋体" w:hAnsi="宋体" w:eastAsia="宋体" w:cs="宋体"/>
                <w:sz w:val="21"/>
                <w:szCs w:val="21"/>
              </w:rPr>
              <w:t>80kPa～120kPa</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环境温度：</w:t>
            </w:r>
            <w:r>
              <w:rPr>
                <w:rFonts w:hint="eastAsia" w:ascii="宋体" w:hAnsi="宋体" w:eastAsia="宋体" w:cs="宋体"/>
                <w:kern w:val="0"/>
                <w:sz w:val="21"/>
                <w:szCs w:val="21"/>
              </w:rPr>
              <w:t>-20℃～+60℃（典型值）     -40℃～+80℃（极限值）</w:t>
            </w:r>
          </w:p>
          <w:p>
            <w:pPr>
              <w:spacing w:line="400" w:lineRule="exact"/>
              <w:rPr>
                <w:rFonts w:hint="eastAsia" w:ascii="宋体" w:hAnsi="宋体" w:eastAsia="宋体" w:cs="宋体"/>
                <w:sz w:val="21"/>
                <w:szCs w:val="21"/>
              </w:rPr>
            </w:pPr>
            <w:r>
              <w:rPr>
                <w:rFonts w:hint="eastAsia" w:ascii="宋体" w:hAnsi="宋体" w:eastAsia="宋体" w:cs="宋体"/>
                <w:sz w:val="21"/>
                <w:szCs w:val="21"/>
              </w:rPr>
              <w:t>（更高温度、湿度检测环境可选购我司的前置预处理气体监测系统）</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环境湿度：</w:t>
            </w:r>
            <w:r>
              <w:rPr>
                <w:rFonts w:hint="eastAsia" w:ascii="宋体" w:hAnsi="宋体" w:eastAsia="宋体" w:cs="宋体"/>
                <w:sz w:val="21"/>
                <w:szCs w:val="21"/>
              </w:rPr>
              <w:t>10%～95%RH（无凝露）</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主体材质：</w:t>
            </w:r>
            <w:r>
              <w:rPr>
                <w:rFonts w:hint="eastAsia" w:ascii="宋体" w:hAnsi="宋体" w:eastAsia="宋体" w:cs="宋体"/>
                <w:sz w:val="21"/>
                <w:szCs w:val="21"/>
              </w:rPr>
              <w:t>①壳体：ADC12铝合金，铁氟龙烤漆，耐磨耐腐蚀（复杂恶劣环境可选316不锈钢壳体）</w:t>
            </w:r>
          </w:p>
          <w:p>
            <w:pPr>
              <w:spacing w:line="400" w:lineRule="exact"/>
              <w:rPr>
                <w:rFonts w:hint="eastAsia" w:ascii="宋体" w:hAnsi="宋体" w:eastAsia="宋体" w:cs="宋体"/>
                <w:sz w:val="21"/>
                <w:szCs w:val="21"/>
              </w:rPr>
            </w:pPr>
            <w:r>
              <w:rPr>
                <w:rFonts w:hint="eastAsia" w:ascii="宋体" w:hAnsi="宋体" w:eastAsia="宋体" w:cs="宋体"/>
                <w:sz w:val="21"/>
                <w:szCs w:val="21"/>
              </w:rPr>
              <w:t>②气室：采用高强度耐磨耐腐蚀铝型材，坚固耐用，气室外螺纹M45*1.5；</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输出信号：</w:t>
            </w:r>
            <w:r>
              <w:rPr>
                <w:rFonts w:hint="eastAsia" w:ascii="宋体" w:hAnsi="宋体" w:eastAsia="宋体" w:cs="宋体"/>
                <w:sz w:val="21"/>
                <w:szCs w:val="21"/>
              </w:rPr>
              <w:t>①三线制4-20mA电流信号输出，可连接各种报警控制器、PLC、DCS 等各种控制系统；</w:t>
            </w:r>
          </w:p>
          <w:p>
            <w:pPr>
              <w:spacing w:line="400" w:lineRule="exact"/>
              <w:rPr>
                <w:rFonts w:hint="eastAsia" w:ascii="宋体" w:hAnsi="宋体" w:eastAsia="宋体" w:cs="宋体"/>
                <w:sz w:val="21"/>
                <w:szCs w:val="21"/>
              </w:rPr>
            </w:pPr>
            <w:r>
              <w:rPr>
                <w:rFonts w:hint="eastAsia" w:ascii="宋体" w:hAnsi="宋体" w:eastAsia="宋体" w:cs="宋体"/>
                <w:sz w:val="21"/>
                <w:szCs w:val="21"/>
              </w:rPr>
              <w:t>②RS-485数字信号输出，连接RS232转接卡可在电脑上查看存储数据；</w:t>
            </w:r>
          </w:p>
          <w:p>
            <w:pPr>
              <w:spacing w:line="400" w:lineRule="exact"/>
              <w:rPr>
                <w:rFonts w:hint="eastAsia" w:ascii="宋体" w:hAnsi="宋体" w:eastAsia="宋体" w:cs="宋体"/>
                <w:sz w:val="21"/>
                <w:szCs w:val="21"/>
              </w:rPr>
            </w:pPr>
            <w:r>
              <w:rPr>
                <w:rFonts w:hint="eastAsia" w:ascii="宋体" w:hAnsi="宋体" w:eastAsia="宋体" w:cs="宋体"/>
                <w:sz w:val="21"/>
                <w:szCs w:val="21"/>
              </w:rPr>
              <w:t>③2组继电器高低段报警开关量输出：无源触点，容量30V 1A、125VAC 0.5A；</w:t>
            </w:r>
          </w:p>
          <w:p>
            <w:pPr>
              <w:spacing w:line="400" w:lineRule="exact"/>
              <w:rPr>
                <w:rFonts w:hint="eastAsia" w:ascii="宋体" w:hAnsi="宋体" w:eastAsia="宋体" w:cs="宋体"/>
                <w:sz w:val="21"/>
                <w:szCs w:val="21"/>
              </w:rPr>
            </w:pPr>
            <w:r>
              <w:rPr>
                <w:rFonts w:hint="eastAsia" w:ascii="宋体" w:hAnsi="宋体" w:eastAsia="宋体" w:cs="宋体"/>
                <w:sz w:val="21"/>
                <w:szCs w:val="21"/>
              </w:rPr>
              <w:t>④电压信号输出：可自行设置0-5V、0-10V信号输出（选配）；</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信号传输方式：</w:t>
            </w:r>
            <w:r>
              <w:rPr>
                <w:rFonts w:hint="eastAsia" w:ascii="宋体" w:hAnsi="宋体" w:eastAsia="宋体" w:cs="宋体"/>
                <w:sz w:val="21"/>
                <w:szCs w:val="21"/>
              </w:rPr>
              <w:t>①三芯（四芯）屏蔽电缆传输：最远可传输1000米至2000米（单芯1平方屏蔽电缆）；</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报警方式：</w:t>
            </w:r>
            <w:r>
              <w:rPr>
                <w:rFonts w:hint="eastAsia" w:ascii="宋体" w:hAnsi="宋体" w:eastAsia="宋体" w:cs="宋体"/>
                <w:sz w:val="21"/>
                <w:szCs w:val="21"/>
              </w:rPr>
              <w:t>声光报警，可选配声光报警器，报警声音：&lt; 90分贝</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直接读数：</w:t>
            </w:r>
            <w:r>
              <w:rPr>
                <w:rFonts w:hint="eastAsia" w:ascii="宋体" w:hAnsi="宋体" w:eastAsia="宋体" w:cs="宋体"/>
                <w:sz w:val="21"/>
                <w:szCs w:val="21"/>
              </w:rPr>
              <w:t>测量值，最大值、最小值</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数据下载：</w:t>
            </w:r>
            <w:r>
              <w:rPr>
                <w:rFonts w:hint="eastAsia" w:ascii="宋体" w:hAnsi="宋体" w:eastAsia="宋体" w:cs="宋体"/>
                <w:sz w:val="21"/>
                <w:szCs w:val="21"/>
              </w:rPr>
              <w:t xml:space="preserve">支持RS485串口测量数据下载 </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校准：</w:t>
            </w:r>
            <w:r>
              <w:rPr>
                <w:rFonts w:hint="eastAsia" w:ascii="宋体" w:hAnsi="宋体" w:eastAsia="宋体" w:cs="宋体"/>
                <w:sz w:val="21"/>
                <w:szCs w:val="21"/>
              </w:rPr>
              <w:t>2级至4级以上的目标点校准功能，可设置校准标定值，一键调零</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防爆电气：连接螺纹：</w:t>
            </w:r>
            <w:r>
              <w:rPr>
                <w:rFonts w:hint="eastAsia" w:ascii="宋体" w:hAnsi="宋体" w:eastAsia="宋体" w:cs="宋体"/>
                <w:sz w:val="21"/>
                <w:szCs w:val="21"/>
              </w:rPr>
              <w:t>① NPT3/4转接内螺纹（可选1/2NPT、G3/4、G1/2转接内螺纹）</w:t>
            </w:r>
          </w:p>
          <w:p>
            <w:pPr>
              <w:spacing w:line="400" w:lineRule="exact"/>
              <w:rPr>
                <w:rFonts w:hint="eastAsia" w:ascii="宋体" w:hAnsi="宋体" w:eastAsia="宋体" w:cs="宋体"/>
                <w:sz w:val="21"/>
                <w:szCs w:val="21"/>
              </w:rPr>
            </w:pPr>
            <w:r>
              <w:rPr>
                <w:rFonts w:hint="eastAsia" w:ascii="宋体" w:hAnsi="宋体" w:eastAsia="宋体" w:cs="宋体"/>
                <w:sz w:val="21"/>
                <w:szCs w:val="21"/>
              </w:rPr>
              <w:t>② 防爆电缆填料函；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防爆标志：</w:t>
            </w:r>
            <w:r>
              <w:rPr>
                <w:rFonts w:hint="eastAsia" w:ascii="宋体" w:hAnsi="宋体" w:eastAsia="宋体" w:cs="宋体"/>
                <w:sz w:val="21"/>
                <w:szCs w:val="21"/>
              </w:rPr>
              <w:t xml:space="preserve">Ex d II CT6  Gb  </w:t>
            </w:r>
          </w:p>
          <w:p>
            <w:pPr>
              <w:widowControl/>
              <w:jc w:val="left"/>
              <w:rPr>
                <w:rFonts w:hint="eastAsia" w:ascii="宋体" w:hAnsi="宋体" w:eastAsia="宋体" w:cs="宋体"/>
                <w:sz w:val="21"/>
                <w:szCs w:val="21"/>
                <w:vertAlign w:val="baseline"/>
              </w:rPr>
            </w:pPr>
            <w:r>
              <w:rPr>
                <w:rFonts w:hint="eastAsia" w:ascii="宋体" w:hAnsi="宋体" w:eastAsia="宋体" w:cs="宋体"/>
                <w:b/>
                <w:sz w:val="21"/>
                <w:szCs w:val="21"/>
              </w:rPr>
              <w:t>防护等级：</w:t>
            </w:r>
            <w:r>
              <w:rPr>
                <w:rFonts w:hint="eastAsia" w:ascii="宋体" w:hAnsi="宋体" w:eastAsia="宋体" w:cs="宋体"/>
                <w:sz w:val="21"/>
                <w:szCs w:val="21"/>
              </w:rPr>
              <w:t>IP66</w:t>
            </w:r>
            <w:bookmarkStart w:id="24" w:name="_GoBack"/>
            <w:bookmarkEnd w:id="24"/>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乙炔报警器</w:t>
            </w:r>
          </w:p>
        </w:tc>
        <w:tc>
          <w:tcPr>
            <w:tcW w:w="5534"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可燃乙炔泄露浓度报警器，乙炔专用</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原装进口高性能传感器，测量精度高，重复性好，使用寿命长；</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采用独立16位AD芯片，4层电路板设计，对弱信号及抗干扰能力更强；</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仪表盘显示界面设计，读数美观大方，体现人性化细节设计；</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mg/m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、ppm、VOL、LEL多种单位可选择；</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采用嵌入式32位超低功耗处理器，配以独有信号处理算法，响应速度快，稳定；</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防高浓度气体冲击的自动保护功能，具有恢复出厂设置，防止误操作；</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仪器配置红外遥控器，通过遥控器操作，无须开盖，简单方便；</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三线制4～20mA、 RS485信号输出可选，继电器输出</w:t>
            </w:r>
          </w:p>
          <w:p>
            <w:pPr>
              <w:numPr>
                <w:ilvl w:val="0"/>
                <w:numId w:val="27"/>
              </w:numPr>
              <w:ind w:left="425" w:leftChars="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两个电缆进线口，方便现场安装； </w:t>
            </w:r>
          </w:p>
          <w:p>
            <w:pPr>
              <w:numPr>
                <w:ilvl w:val="0"/>
                <w:numId w:val="27"/>
              </w:numPr>
              <w:ind w:left="425" w:leftChars="0" w:hanging="425" w:firstLineChars="0"/>
              <w:rPr>
                <w:rFonts w:hint="eastAsia" w:ascii="宋体" w:hAnsi="宋体" w:eastAsia="宋体" w:cs="宋体"/>
                <w:sz w:val="21"/>
                <w:szCs w:val="21"/>
              </w:rPr>
            </w:pPr>
            <w:r>
              <w:rPr>
                <w:rFonts w:hint="eastAsia" w:ascii="宋体" w:hAnsi="宋体" w:eastAsia="宋体" w:cs="宋体"/>
                <w:color w:val="000000"/>
                <w:sz w:val="21"/>
                <w:szCs w:val="21"/>
              </w:rPr>
              <w:t>一流的机械设计，气室采用军工品质的高强度铝型材，耐磨耐腐浊，适用于复杂恶劣的工业环境，合理科学的气室设计，保证传感器实时监测的准确性；</w:t>
            </w:r>
          </w:p>
          <w:p>
            <w:pPr>
              <w:numPr>
                <w:ilvl w:val="0"/>
                <w:numId w:val="27"/>
              </w:numPr>
              <w:ind w:left="425" w:leftChars="0" w:hanging="425" w:firstLineChars="0"/>
              <w:rPr>
                <w:rFonts w:hint="eastAsia" w:ascii="宋体" w:hAnsi="宋体" w:eastAsia="宋体" w:cs="宋体"/>
                <w:sz w:val="21"/>
                <w:szCs w:val="21"/>
              </w:rPr>
            </w:pPr>
            <w:r>
              <w:rPr>
                <w:rFonts w:hint="eastAsia" w:ascii="宋体" w:hAnsi="宋体" w:eastAsia="宋体" w:cs="宋体"/>
                <w:color w:val="000000"/>
                <w:sz w:val="21"/>
                <w:szCs w:val="21"/>
              </w:rPr>
              <w:t>防爆等级为Exd II CT6，国家防爆电气检验中心认证</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测量范围：</w:t>
            </w:r>
            <w:r>
              <w:rPr>
                <w:rFonts w:hint="eastAsia" w:ascii="宋体" w:hAnsi="宋体" w:eastAsia="宋体" w:cs="宋体"/>
                <w:sz w:val="21"/>
                <w:szCs w:val="21"/>
              </w:rPr>
              <w:t>0-100%LEL</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分 辨 率：</w:t>
            </w:r>
            <w:r>
              <w:rPr>
                <w:rFonts w:hint="eastAsia" w:ascii="宋体" w:hAnsi="宋体" w:eastAsia="宋体" w:cs="宋体"/>
                <w:sz w:val="21"/>
                <w:szCs w:val="21"/>
              </w:rPr>
              <w:t>1%LEL</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采样方式：</w:t>
            </w:r>
            <w:r>
              <w:rPr>
                <w:rFonts w:hint="eastAsia" w:ascii="宋体" w:hAnsi="宋体" w:eastAsia="宋体" w:cs="宋体"/>
                <w:sz w:val="21"/>
                <w:szCs w:val="21"/>
              </w:rPr>
              <w:t>自由扩散式——在线式连续检测，自由扩散式的检测方式；</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安装方式：</w:t>
            </w:r>
            <w:r>
              <w:rPr>
                <w:rFonts w:hint="eastAsia" w:ascii="宋体" w:hAnsi="宋体" w:eastAsia="宋体" w:cs="宋体"/>
                <w:sz w:val="21"/>
                <w:szCs w:val="21"/>
              </w:rPr>
              <w:t>壁挂式；管道式（分抱管式、插管式，管道式外螺纹:M45X1.5mm，可选配管道转接螺丝接头，可焊接）;</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示值误差：</w:t>
            </w:r>
            <w:r>
              <w:rPr>
                <w:rFonts w:hint="eastAsia" w:ascii="宋体" w:hAnsi="宋体" w:eastAsia="宋体" w:cs="宋体"/>
                <w:sz w:val="21"/>
                <w:szCs w:val="21"/>
              </w:rPr>
              <w:t>≤±3% FS</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重 复 性：</w:t>
            </w:r>
            <w:r>
              <w:rPr>
                <w:rFonts w:hint="eastAsia" w:ascii="宋体" w:hAnsi="宋体" w:eastAsia="宋体" w:cs="宋体"/>
                <w:sz w:val="21"/>
                <w:szCs w:val="21"/>
              </w:rPr>
              <w:t xml:space="preserve">≤±1% </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零点漂移：</w:t>
            </w:r>
            <w:r>
              <w:rPr>
                <w:rFonts w:hint="eastAsia" w:ascii="宋体" w:hAnsi="宋体" w:eastAsia="宋体" w:cs="宋体"/>
                <w:sz w:val="21"/>
                <w:szCs w:val="21"/>
              </w:rPr>
              <w:t>≤±1%（FS/年）</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响应时间：</w:t>
            </w:r>
            <w:r>
              <w:rPr>
                <w:rFonts w:hint="eastAsia" w:ascii="宋体" w:hAnsi="宋体" w:eastAsia="宋体" w:cs="宋体"/>
                <w:sz w:val="21"/>
                <w:szCs w:val="21"/>
              </w:rPr>
              <w:t>≤20秒（T90），（更高要求根据传感器性能）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恢复时间：</w:t>
            </w:r>
            <w:r>
              <w:rPr>
                <w:rFonts w:hint="eastAsia" w:ascii="宋体" w:hAnsi="宋体" w:eastAsia="宋体" w:cs="宋体"/>
                <w:sz w:val="21"/>
                <w:szCs w:val="21"/>
              </w:rPr>
              <w:t>≤10秒 （更高要求根据传感器性能）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供电电源：</w:t>
            </w:r>
            <w:r>
              <w:rPr>
                <w:rFonts w:hint="eastAsia" w:ascii="宋体" w:hAnsi="宋体" w:eastAsia="宋体" w:cs="宋体"/>
                <w:sz w:val="21"/>
                <w:szCs w:val="21"/>
              </w:rPr>
              <w:t>12</w:t>
            </w:r>
            <w:r>
              <w:rPr>
                <w:rFonts w:hint="eastAsia" w:ascii="宋体" w:hAnsi="宋体" w:eastAsia="宋体" w:cs="宋体"/>
                <w:kern w:val="0"/>
                <w:sz w:val="21"/>
                <w:szCs w:val="21"/>
              </w:rPr>
              <w:t>～</w:t>
            </w:r>
            <w:r>
              <w:rPr>
                <w:rFonts w:hint="eastAsia" w:ascii="宋体" w:hAnsi="宋体" w:eastAsia="宋体" w:cs="宋体"/>
                <w:sz w:val="21"/>
                <w:szCs w:val="21"/>
              </w:rPr>
              <w:t>30VDC</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功    率：</w:t>
            </w:r>
            <w:r>
              <w:rPr>
                <w:rFonts w:hint="eastAsia" w:ascii="宋体" w:hAnsi="宋体" w:eastAsia="宋体" w:cs="宋体"/>
                <w:sz w:val="21"/>
                <w:szCs w:val="21"/>
              </w:rPr>
              <w:t>≤2.5 W（DC24V）</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环境压力：</w:t>
            </w:r>
            <w:r>
              <w:rPr>
                <w:rFonts w:hint="eastAsia" w:ascii="宋体" w:hAnsi="宋体" w:eastAsia="宋体" w:cs="宋体"/>
                <w:sz w:val="21"/>
                <w:szCs w:val="21"/>
              </w:rPr>
              <w:t>80kPa～120kPa</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环境温度：</w:t>
            </w:r>
            <w:r>
              <w:rPr>
                <w:rFonts w:hint="eastAsia" w:ascii="宋体" w:hAnsi="宋体" w:eastAsia="宋体" w:cs="宋体"/>
                <w:kern w:val="0"/>
                <w:sz w:val="21"/>
                <w:szCs w:val="21"/>
              </w:rPr>
              <w:t>-20℃～+60℃（典型值）      -40℃～+80℃（极限值）</w:t>
            </w:r>
          </w:p>
          <w:p>
            <w:pPr>
              <w:spacing w:line="400" w:lineRule="exact"/>
              <w:rPr>
                <w:rFonts w:hint="eastAsia" w:ascii="宋体" w:hAnsi="宋体" w:eastAsia="宋体" w:cs="宋体"/>
                <w:sz w:val="21"/>
                <w:szCs w:val="21"/>
              </w:rPr>
            </w:pPr>
            <w:r>
              <w:rPr>
                <w:rFonts w:hint="eastAsia" w:ascii="宋体" w:hAnsi="宋体" w:eastAsia="宋体" w:cs="宋体"/>
                <w:sz w:val="21"/>
                <w:szCs w:val="21"/>
              </w:rPr>
              <w:t>（更高温度、湿度检测环境可选购我司的前置预处理气体监测系统）</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环境湿度：</w:t>
            </w:r>
            <w:r>
              <w:rPr>
                <w:rFonts w:hint="eastAsia" w:ascii="宋体" w:hAnsi="宋体" w:eastAsia="宋体" w:cs="宋体"/>
                <w:sz w:val="21"/>
                <w:szCs w:val="21"/>
              </w:rPr>
              <w:t>10%～95%RH（无凝露）</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主体材质：</w:t>
            </w:r>
            <w:r>
              <w:rPr>
                <w:rFonts w:hint="eastAsia" w:ascii="宋体" w:hAnsi="宋体" w:eastAsia="宋体" w:cs="宋体"/>
                <w:sz w:val="21"/>
                <w:szCs w:val="21"/>
              </w:rPr>
              <w:t>①壳体：ADC12铝合金，铁氟龙烤漆，耐磨耐腐蚀（复杂恶劣环境可选316不锈钢壳体）</w:t>
            </w:r>
          </w:p>
          <w:p>
            <w:pPr>
              <w:spacing w:line="400" w:lineRule="exact"/>
              <w:rPr>
                <w:rFonts w:hint="eastAsia" w:ascii="宋体" w:hAnsi="宋体" w:eastAsia="宋体" w:cs="宋体"/>
                <w:sz w:val="21"/>
                <w:szCs w:val="21"/>
              </w:rPr>
            </w:pPr>
            <w:r>
              <w:rPr>
                <w:rFonts w:hint="eastAsia" w:ascii="宋体" w:hAnsi="宋体" w:eastAsia="宋体" w:cs="宋体"/>
                <w:sz w:val="21"/>
                <w:szCs w:val="21"/>
              </w:rPr>
              <w:t>②气室：采用高强度耐磨耐腐蚀铝型材，坚固耐用，气室外螺纹M45*1.5；</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输出信号：</w:t>
            </w:r>
            <w:r>
              <w:rPr>
                <w:rFonts w:hint="eastAsia" w:ascii="宋体" w:hAnsi="宋体" w:eastAsia="宋体" w:cs="宋体"/>
                <w:sz w:val="21"/>
                <w:szCs w:val="21"/>
              </w:rPr>
              <w:t>①三线制4-20mA电流信号输出，可连接各种报警控制器、PLC、DCS 等各种控制系统；</w:t>
            </w:r>
          </w:p>
          <w:p>
            <w:pPr>
              <w:spacing w:line="400" w:lineRule="exact"/>
              <w:rPr>
                <w:rFonts w:hint="eastAsia" w:ascii="宋体" w:hAnsi="宋体" w:eastAsia="宋体" w:cs="宋体"/>
                <w:sz w:val="21"/>
                <w:szCs w:val="21"/>
              </w:rPr>
            </w:pPr>
            <w:r>
              <w:rPr>
                <w:rFonts w:hint="eastAsia" w:ascii="宋体" w:hAnsi="宋体" w:eastAsia="宋体" w:cs="宋体"/>
                <w:sz w:val="21"/>
                <w:szCs w:val="21"/>
              </w:rPr>
              <w:t>②RS-485数字信号输出，连接RS232转接卡可在电脑上查看存储数据；</w:t>
            </w:r>
          </w:p>
          <w:p>
            <w:pPr>
              <w:spacing w:line="400" w:lineRule="exact"/>
              <w:rPr>
                <w:rFonts w:hint="eastAsia" w:ascii="宋体" w:hAnsi="宋体" w:eastAsia="宋体" w:cs="宋体"/>
                <w:sz w:val="21"/>
                <w:szCs w:val="21"/>
              </w:rPr>
            </w:pPr>
            <w:r>
              <w:rPr>
                <w:rFonts w:hint="eastAsia" w:ascii="宋体" w:hAnsi="宋体" w:eastAsia="宋体" w:cs="宋体"/>
                <w:sz w:val="21"/>
                <w:szCs w:val="21"/>
              </w:rPr>
              <w:t>③2组继电器高低段报警开关量输出：无源触点，容量30V 1A、125VAC 0.5A；</w:t>
            </w:r>
          </w:p>
          <w:p>
            <w:pPr>
              <w:spacing w:line="400" w:lineRule="exact"/>
              <w:rPr>
                <w:rFonts w:hint="eastAsia" w:ascii="宋体" w:hAnsi="宋体" w:eastAsia="宋体" w:cs="宋体"/>
                <w:sz w:val="21"/>
                <w:szCs w:val="21"/>
              </w:rPr>
            </w:pPr>
            <w:r>
              <w:rPr>
                <w:rFonts w:hint="eastAsia" w:ascii="宋体" w:hAnsi="宋体" w:eastAsia="宋体" w:cs="宋体"/>
                <w:sz w:val="21"/>
                <w:szCs w:val="21"/>
              </w:rPr>
              <w:t>④电压信号输出：可自行设置0-5V、0-10V信号输出（选配）；</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信号传输方式：</w:t>
            </w:r>
            <w:r>
              <w:rPr>
                <w:rFonts w:hint="eastAsia" w:ascii="宋体" w:hAnsi="宋体" w:eastAsia="宋体" w:cs="宋体"/>
                <w:sz w:val="21"/>
                <w:szCs w:val="21"/>
              </w:rPr>
              <w:t>①三芯（四芯）屏蔽电缆传输：最远可传输1000米至2000米（单芯1平方屏蔽电缆）；</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报警方式：</w:t>
            </w:r>
            <w:r>
              <w:rPr>
                <w:rFonts w:hint="eastAsia" w:ascii="宋体" w:hAnsi="宋体" w:eastAsia="宋体" w:cs="宋体"/>
                <w:sz w:val="21"/>
                <w:szCs w:val="21"/>
              </w:rPr>
              <w:t>声光报警，可选配声光报警器，报警声音：&lt; 90分贝</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直接读数：</w:t>
            </w:r>
            <w:r>
              <w:rPr>
                <w:rFonts w:hint="eastAsia" w:ascii="宋体" w:hAnsi="宋体" w:eastAsia="宋体" w:cs="宋体"/>
                <w:sz w:val="21"/>
                <w:szCs w:val="21"/>
              </w:rPr>
              <w:t>测量值，最大值、最小值</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数据下载：</w:t>
            </w:r>
            <w:r>
              <w:rPr>
                <w:rFonts w:hint="eastAsia" w:ascii="宋体" w:hAnsi="宋体" w:eastAsia="宋体" w:cs="宋体"/>
                <w:sz w:val="21"/>
                <w:szCs w:val="21"/>
              </w:rPr>
              <w:t xml:space="preserve">支持RS485串口测量数据下载 </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校准：</w:t>
            </w:r>
            <w:r>
              <w:rPr>
                <w:rFonts w:hint="eastAsia" w:ascii="宋体" w:hAnsi="宋体" w:eastAsia="宋体" w:cs="宋体"/>
                <w:sz w:val="21"/>
                <w:szCs w:val="21"/>
              </w:rPr>
              <w:t>2级至4级以上的目标点校准功能，可设置校准标定值，一键调零</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防爆电气：连接螺纹：</w:t>
            </w:r>
            <w:r>
              <w:rPr>
                <w:rFonts w:hint="eastAsia" w:ascii="宋体" w:hAnsi="宋体" w:eastAsia="宋体" w:cs="宋体"/>
                <w:sz w:val="21"/>
                <w:szCs w:val="21"/>
              </w:rPr>
              <w:t>① NPT3/4转接内螺纹（可选1/2NPT、G3/4、G1/2转接内螺纹）</w:t>
            </w:r>
          </w:p>
          <w:p>
            <w:pPr>
              <w:spacing w:line="400" w:lineRule="exact"/>
              <w:rPr>
                <w:rFonts w:hint="eastAsia" w:ascii="宋体" w:hAnsi="宋体" w:eastAsia="宋体" w:cs="宋体"/>
                <w:sz w:val="21"/>
                <w:szCs w:val="21"/>
              </w:rPr>
            </w:pPr>
            <w:r>
              <w:rPr>
                <w:rFonts w:hint="eastAsia" w:ascii="宋体" w:hAnsi="宋体" w:eastAsia="宋体" w:cs="宋体"/>
                <w:sz w:val="21"/>
                <w:szCs w:val="21"/>
              </w:rPr>
              <w:t>② 防爆电缆填料函；</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防爆标志：</w:t>
            </w:r>
            <w:r>
              <w:rPr>
                <w:rFonts w:hint="eastAsia" w:ascii="宋体" w:hAnsi="宋体" w:eastAsia="宋体" w:cs="宋体"/>
                <w:sz w:val="21"/>
                <w:szCs w:val="21"/>
              </w:rPr>
              <w:t xml:space="preserve">Ex d II CT6  Gb  </w:t>
            </w:r>
          </w:p>
          <w:p>
            <w:pPr>
              <w:widowControl/>
              <w:jc w:val="left"/>
              <w:rPr>
                <w:rFonts w:hint="eastAsia" w:ascii="宋体" w:hAnsi="宋体" w:eastAsia="宋体" w:cs="宋体"/>
                <w:sz w:val="21"/>
                <w:szCs w:val="21"/>
                <w:vertAlign w:val="baseline"/>
              </w:rPr>
            </w:pPr>
            <w:r>
              <w:rPr>
                <w:rFonts w:hint="eastAsia" w:ascii="宋体" w:hAnsi="宋体" w:eastAsia="宋体" w:cs="宋体"/>
                <w:b/>
                <w:sz w:val="21"/>
                <w:szCs w:val="21"/>
              </w:rPr>
              <w:t>防护等级：</w:t>
            </w:r>
            <w:r>
              <w:rPr>
                <w:rFonts w:hint="eastAsia" w:ascii="宋体" w:hAnsi="宋体" w:eastAsia="宋体" w:cs="宋体"/>
                <w:sz w:val="21"/>
                <w:szCs w:val="21"/>
              </w:rPr>
              <w:t>IP66</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安装</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安装人工费，含保压，吹扫，调试</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辅材</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安装辅材，信号线等</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防爆排风系统</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防爆排风系统（含管道及防爆风机，3个不锈钢罩）</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2</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防爆灯</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防爆灯（含房内电线及安装）</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4</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防爆</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kern w:val="0"/>
                <w:sz w:val="21"/>
                <w:szCs w:val="21"/>
              </w:rPr>
              <w:t>防爆开关（含房内电线及安装）</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4</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间隔</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玻镁板（含人工费及安装、含损耗）</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30</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定制门</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定制门，带观察窗</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U型材</w:t>
            </w:r>
          </w:p>
        </w:tc>
        <w:tc>
          <w:tcPr>
            <w:tcW w:w="55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51系列铝合金U型材（含人工费及安装、含损耗）</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60</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1634"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控制器</w:t>
            </w:r>
          </w:p>
        </w:tc>
        <w:tc>
          <w:tcPr>
            <w:tcW w:w="5534" w:type="dxa"/>
            <w:vAlign w:val="center"/>
          </w:tcPr>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控制器供电AC220±20%，50HZ；输出电压DC24V，控制器功耗＜2W。</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采用数码管和LED显示，使用寿命长亮度高功耗低，显示清晰适应不同光线环境，能直观显示浓度单位，报警，故障等信息。  </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内嵌ST的32位高性能低功耗单片机，能快速处理探测器传输过来的信号并实时显示浓度信息。</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声光报警功能，光报警选配，探测器发生故障，低报，高报时发出不同频率的声报警。</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多达四组继电器输出（无源），继电器输出可自定义以适应不同场合使用。</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探测器信号通讯方式可选：4-20mA,RS485(出厂默认4-20mA,RS485可选)。</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带消音功能，由于误操作或测试需要导致控制器报警时可按消音键消音。</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8通道控制器带通道锁定功能，锁定后还可以切换通道，方便某一通道的实时检测和测试。</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高质量按键，按压区域大按压手感良好，有效提升操作体验。</w:t>
            </w:r>
          </w:p>
          <w:p>
            <w:pPr>
              <w:numPr>
                <w:ilvl w:val="0"/>
                <w:numId w:val="28"/>
              </w:numPr>
              <w:wordWrap w:val="0"/>
              <w:rPr>
                <w:rFonts w:hint="eastAsia" w:ascii="宋体" w:hAnsi="宋体" w:eastAsia="宋体" w:cs="宋体"/>
                <w:color w:val="000000"/>
                <w:sz w:val="21"/>
                <w:szCs w:val="21"/>
              </w:rPr>
            </w:pPr>
            <w:r>
              <w:rPr>
                <w:rFonts w:hint="eastAsia" w:ascii="宋体" w:hAnsi="宋体" w:eastAsia="宋体" w:cs="宋体"/>
                <w:color w:val="000000"/>
                <w:sz w:val="21"/>
                <w:szCs w:val="21"/>
              </w:rPr>
              <w:t>控制器机箱门和机箱主体衔接处采用了简单防水功能，机箱金属外壳表面经过光滑处理有一定触摸手感和抗压。</w:t>
            </w:r>
          </w:p>
          <w:p>
            <w:pPr>
              <w:numPr>
                <w:ilvl w:val="0"/>
                <w:numId w:val="28"/>
              </w:numPr>
              <w:wordWrap w:val="0"/>
              <w:rPr>
                <w:rFonts w:hint="eastAsia" w:ascii="宋体" w:hAnsi="宋体" w:eastAsia="宋体" w:cs="宋体"/>
                <w:b/>
                <w:color w:val="000000"/>
                <w:sz w:val="21"/>
                <w:szCs w:val="21"/>
              </w:rPr>
            </w:pPr>
            <w:r>
              <w:rPr>
                <w:rFonts w:hint="eastAsia" w:ascii="宋体" w:hAnsi="宋体" w:eastAsia="宋体" w:cs="宋体"/>
                <w:b w:val="0"/>
                <w:bCs w:val="0"/>
                <w:color w:val="000000"/>
                <w:sz w:val="21"/>
                <w:szCs w:val="21"/>
              </w:rPr>
              <w:t>控制器进线处采用防水防尘的接线头，能有效固定进线。</w:t>
            </w:r>
          </w:p>
          <w:p>
            <w:pPr>
              <w:numPr>
                <w:ilvl w:val="0"/>
                <w:numId w:val="0"/>
              </w:numPr>
              <w:wordWrap w:val="0"/>
              <w:rPr>
                <w:rFonts w:hint="eastAsia" w:ascii="宋体" w:hAnsi="宋体" w:eastAsia="宋体" w:cs="宋体"/>
                <w:b/>
                <w:color w:val="000000"/>
                <w:sz w:val="21"/>
                <w:szCs w:val="21"/>
              </w:rPr>
            </w:pPr>
            <w:r>
              <w:rPr>
                <w:rFonts w:hint="eastAsia" w:ascii="宋体" w:hAnsi="宋体" w:eastAsia="宋体" w:cs="宋体"/>
                <w:b w:val="0"/>
                <w:bCs w:val="0"/>
                <w:color w:val="000000"/>
                <w:sz w:val="21"/>
                <w:szCs w:val="21"/>
                <w:lang w:val="en-US" w:eastAsia="zh-CN"/>
              </w:rPr>
              <w:t>12.</w:t>
            </w:r>
            <w:r>
              <w:rPr>
                <w:rFonts w:hint="eastAsia" w:ascii="宋体" w:hAnsi="宋体" w:eastAsia="宋体" w:cs="宋体"/>
                <w:b w:val="0"/>
                <w:bCs w:val="0"/>
                <w:color w:val="000000"/>
                <w:sz w:val="21"/>
                <w:szCs w:val="21"/>
              </w:rPr>
              <w:t>壁挂式安装，方便控制器拆卸，选配安装支架。</w:t>
            </w:r>
            <w:r>
              <w:rPr>
                <w:rFonts w:hint="eastAsia" w:ascii="宋体" w:hAnsi="宋体" w:eastAsia="宋体" w:cs="宋体"/>
                <w:color w:val="000000"/>
                <w:sz w:val="21"/>
                <w:szCs w:val="21"/>
              </w:rPr>
              <w:t xml:space="preserve"> </w:t>
            </w:r>
          </w:p>
          <w:p>
            <w:pPr>
              <w:rPr>
                <w:rFonts w:hint="eastAsia" w:ascii="宋体" w:hAnsi="宋体" w:eastAsia="宋体" w:cs="宋体"/>
                <w:color w:val="000000"/>
                <w:sz w:val="21"/>
                <w:szCs w:val="21"/>
              </w:rPr>
            </w:pPr>
            <w:r>
              <w:rPr>
                <w:rFonts w:hint="eastAsia" w:ascii="宋体" w:hAnsi="宋体" w:eastAsia="宋体" w:cs="宋体"/>
                <w:color w:val="000000"/>
                <w:sz w:val="21"/>
                <w:szCs w:val="21"/>
              </w:rPr>
              <w:t>显示方式：</w:t>
            </w:r>
            <w:r>
              <w:rPr>
                <w:rFonts w:hint="eastAsia" w:ascii="宋体" w:hAnsi="宋体" w:eastAsia="宋体" w:cs="宋体"/>
                <w:sz w:val="21"/>
                <w:szCs w:val="21"/>
              </w:rPr>
              <w:t>数码管，LED显示</w:t>
            </w:r>
          </w:p>
          <w:p>
            <w:pPr>
              <w:rPr>
                <w:rFonts w:hint="eastAsia" w:ascii="宋体" w:hAnsi="宋体" w:eastAsia="宋体" w:cs="宋体"/>
                <w:color w:val="000000"/>
                <w:sz w:val="21"/>
                <w:szCs w:val="21"/>
              </w:rPr>
            </w:pPr>
            <w:r>
              <w:rPr>
                <w:rFonts w:hint="eastAsia" w:ascii="宋体" w:hAnsi="宋体" w:eastAsia="宋体" w:cs="宋体"/>
                <w:color w:val="000000"/>
                <w:sz w:val="21"/>
                <w:szCs w:val="21"/>
              </w:rPr>
              <w:t>输入电压：</w:t>
            </w:r>
            <w:r>
              <w:rPr>
                <w:rFonts w:hint="eastAsia" w:ascii="宋体" w:hAnsi="宋体" w:eastAsia="宋体" w:cs="宋体"/>
                <w:sz w:val="21"/>
                <w:szCs w:val="21"/>
              </w:rPr>
              <w:t>AC220V±20%，50HZ</w:t>
            </w:r>
          </w:p>
          <w:p>
            <w:pPr>
              <w:rPr>
                <w:rFonts w:hint="eastAsia" w:ascii="宋体" w:hAnsi="宋体" w:eastAsia="宋体" w:cs="宋体"/>
                <w:color w:val="000000"/>
                <w:sz w:val="21"/>
                <w:szCs w:val="21"/>
              </w:rPr>
            </w:pPr>
            <w:r>
              <w:rPr>
                <w:rFonts w:hint="eastAsia" w:ascii="宋体" w:hAnsi="宋体" w:eastAsia="宋体" w:cs="宋体"/>
                <w:color w:val="000000"/>
                <w:sz w:val="21"/>
                <w:szCs w:val="21"/>
              </w:rPr>
              <w:t>功耗：</w:t>
            </w:r>
            <w:r>
              <w:rPr>
                <w:rFonts w:hint="eastAsia" w:ascii="宋体" w:hAnsi="宋体" w:eastAsia="宋体" w:cs="宋体"/>
                <w:sz w:val="21"/>
                <w:szCs w:val="21"/>
              </w:rPr>
              <w:t>＜2W</w:t>
            </w:r>
          </w:p>
          <w:p>
            <w:pPr>
              <w:rPr>
                <w:rFonts w:hint="eastAsia" w:ascii="宋体" w:hAnsi="宋体" w:eastAsia="宋体" w:cs="宋体"/>
                <w:color w:val="000000"/>
                <w:sz w:val="21"/>
                <w:szCs w:val="21"/>
              </w:rPr>
            </w:pPr>
            <w:r>
              <w:rPr>
                <w:rFonts w:hint="eastAsia" w:ascii="宋体" w:hAnsi="宋体" w:eastAsia="宋体" w:cs="宋体"/>
                <w:color w:val="000000"/>
                <w:sz w:val="21"/>
                <w:szCs w:val="21"/>
              </w:rPr>
              <w:t>通道数：</w:t>
            </w:r>
            <w:r>
              <w:rPr>
                <w:rFonts w:hint="eastAsia" w:ascii="宋体" w:hAnsi="宋体" w:eastAsia="宋体" w:cs="宋体"/>
                <w:sz w:val="21"/>
                <w:szCs w:val="21"/>
              </w:rPr>
              <w:t>最多4通道</w:t>
            </w:r>
          </w:p>
          <w:p>
            <w:pPr>
              <w:rPr>
                <w:rFonts w:hint="eastAsia" w:ascii="宋体" w:hAnsi="宋体" w:eastAsia="宋体" w:cs="宋体"/>
                <w:color w:val="000000"/>
                <w:sz w:val="21"/>
                <w:szCs w:val="21"/>
              </w:rPr>
            </w:pPr>
            <w:r>
              <w:rPr>
                <w:rFonts w:hint="eastAsia" w:ascii="宋体" w:hAnsi="宋体" w:eastAsia="宋体" w:cs="宋体"/>
                <w:color w:val="000000"/>
                <w:sz w:val="21"/>
                <w:szCs w:val="21"/>
              </w:rPr>
              <w:t>探头供电：</w:t>
            </w:r>
            <w:r>
              <w:rPr>
                <w:rFonts w:hint="eastAsia" w:ascii="宋体" w:hAnsi="宋体" w:eastAsia="宋体" w:cs="宋体"/>
                <w:sz w:val="21"/>
                <w:szCs w:val="21"/>
              </w:rPr>
              <w:t>DC24V,300mA/路</w:t>
            </w:r>
          </w:p>
          <w:p>
            <w:pPr>
              <w:rPr>
                <w:rFonts w:hint="eastAsia" w:ascii="宋体" w:hAnsi="宋体" w:eastAsia="宋体" w:cs="宋体"/>
                <w:color w:val="000000"/>
                <w:sz w:val="21"/>
                <w:szCs w:val="21"/>
              </w:rPr>
            </w:pPr>
            <w:r>
              <w:rPr>
                <w:rFonts w:hint="eastAsia" w:ascii="宋体" w:hAnsi="宋体" w:eastAsia="宋体" w:cs="宋体"/>
                <w:color w:val="000000"/>
                <w:sz w:val="21"/>
                <w:szCs w:val="21"/>
              </w:rPr>
              <w:t>输入信号：</w:t>
            </w:r>
            <w:r>
              <w:rPr>
                <w:rFonts w:hint="eastAsia" w:ascii="宋体" w:hAnsi="宋体" w:eastAsia="宋体" w:cs="宋体"/>
                <w:sz w:val="21"/>
                <w:szCs w:val="21"/>
              </w:rPr>
              <w:t>4-20mA(RS485可选)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继电器输出：</w:t>
            </w:r>
            <w:r>
              <w:rPr>
                <w:rFonts w:hint="eastAsia" w:ascii="宋体" w:hAnsi="宋体" w:eastAsia="宋体" w:cs="宋体"/>
                <w:sz w:val="21"/>
                <w:szCs w:val="21"/>
              </w:rPr>
              <w:t>无源，容量：AC220V/2A,DC24V/2A</w:t>
            </w:r>
          </w:p>
          <w:p>
            <w:pPr>
              <w:rPr>
                <w:rFonts w:hint="eastAsia" w:ascii="宋体" w:hAnsi="宋体" w:eastAsia="宋体" w:cs="宋体"/>
                <w:color w:val="000000"/>
                <w:sz w:val="21"/>
                <w:szCs w:val="21"/>
              </w:rPr>
            </w:pPr>
            <w:r>
              <w:rPr>
                <w:rFonts w:hint="eastAsia" w:ascii="宋体" w:hAnsi="宋体" w:eastAsia="宋体" w:cs="宋体"/>
                <w:color w:val="000000"/>
                <w:sz w:val="21"/>
                <w:szCs w:val="21"/>
              </w:rPr>
              <w:t>声光报警：</w:t>
            </w:r>
            <w:r>
              <w:rPr>
                <w:rFonts w:hint="eastAsia" w:ascii="宋体" w:hAnsi="宋体" w:eastAsia="宋体" w:cs="宋体"/>
                <w:sz w:val="21"/>
                <w:szCs w:val="21"/>
              </w:rPr>
              <w:t>声报警1米处声压＞80dB,光报警可选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工作温度：</w:t>
            </w:r>
            <w:r>
              <w:rPr>
                <w:rFonts w:hint="eastAsia" w:ascii="宋体" w:hAnsi="宋体" w:eastAsia="宋体" w:cs="宋体"/>
                <w:sz w:val="21"/>
                <w:szCs w:val="21"/>
              </w:rPr>
              <w:t>-20℃～+50℃</w:t>
            </w:r>
          </w:p>
          <w:p>
            <w:pPr>
              <w:jc w:val="left"/>
              <w:rPr>
                <w:rFonts w:hint="eastAsia" w:ascii="宋体" w:hAnsi="宋体" w:eastAsia="宋体" w:cs="宋体"/>
                <w:sz w:val="21"/>
                <w:szCs w:val="21"/>
              </w:rPr>
            </w:pPr>
            <w:r>
              <w:rPr>
                <w:rFonts w:hint="eastAsia" w:ascii="宋体" w:hAnsi="宋体" w:eastAsia="宋体" w:cs="宋体"/>
                <w:sz w:val="21"/>
                <w:szCs w:val="21"/>
              </w:rPr>
              <w:t>工作湿度：≤95%RH,无冷凝</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主体材质：高强度冷轧板，表面喷涂</w:t>
            </w:r>
          </w:p>
          <w:p>
            <w:pPr>
              <w:rPr>
                <w:rFonts w:hint="eastAsia" w:ascii="宋体" w:hAnsi="宋体" w:eastAsia="宋体" w:cs="宋体"/>
                <w:sz w:val="21"/>
                <w:szCs w:val="21"/>
                <w:vertAlign w:val="baseline"/>
              </w:rPr>
            </w:pPr>
            <w:r>
              <w:rPr>
                <w:rFonts w:hint="eastAsia" w:ascii="宋体" w:hAnsi="宋体" w:eastAsia="宋体" w:cs="宋体"/>
                <w:color w:val="000000"/>
                <w:sz w:val="21"/>
                <w:szCs w:val="21"/>
              </w:rPr>
              <w:t>安装方式：壁挂式安装(可定制安装支架)</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16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z w:val="21"/>
                <w:szCs w:val="21"/>
              </w:rPr>
              <w:t>多功能全自动样品浓缩仪</w:t>
            </w:r>
          </w:p>
        </w:tc>
        <w:tc>
          <w:tcPr>
            <w:tcW w:w="5534" w:type="dxa"/>
            <w:vAlign w:val="center"/>
          </w:tcPr>
          <w:p>
            <w:pPr>
              <w:spacing w:before="120" w:after="120" w:line="360" w:lineRule="auto"/>
              <w:rPr>
                <w:rFonts w:hint="eastAsia" w:ascii="宋体" w:hAnsi="宋体" w:eastAsia="宋体" w:cs="宋体"/>
                <w:color w:val="000000"/>
                <w:sz w:val="21"/>
                <w:szCs w:val="21"/>
              </w:rPr>
            </w:pPr>
            <w:r>
              <w:rPr>
                <w:rFonts w:hint="eastAsia" w:ascii="宋体" w:hAnsi="宋体" w:eastAsia="宋体" w:cs="宋体"/>
                <w:b/>
                <w:bCs/>
                <w:sz w:val="21"/>
                <w:szCs w:val="21"/>
              </w:rPr>
              <w:t>1</w:t>
            </w:r>
            <w:r>
              <w:rPr>
                <w:rFonts w:hint="eastAsia" w:ascii="宋体" w:hAnsi="宋体" w:eastAsia="宋体" w:cs="宋体"/>
                <w:sz w:val="21"/>
                <w:szCs w:val="21"/>
              </w:rPr>
              <w:t>.</w:t>
            </w:r>
            <w:r>
              <w:rPr>
                <w:rFonts w:hint="eastAsia" w:ascii="宋体" w:hAnsi="宋体" w:eastAsia="宋体" w:cs="宋体"/>
                <w:b/>
                <w:sz w:val="21"/>
                <w:szCs w:val="21"/>
              </w:rPr>
              <w:t>功能、用途和</w:t>
            </w:r>
            <w:r>
              <w:rPr>
                <w:rFonts w:hint="eastAsia" w:ascii="宋体" w:hAnsi="宋体" w:eastAsia="宋体" w:cs="宋体"/>
                <w:b/>
                <w:color w:val="000000"/>
                <w:sz w:val="21"/>
                <w:szCs w:val="21"/>
              </w:rPr>
              <w:t>应用领域：</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本系统采用涡旋剪切气流对样品液面进行吹扫，使溶剂表面形成涡旋，增大溶剂表面积，加速溶剂挥发过程，同时利用涡旋不断清洗样品管壁，减少样品在管壁的吸附。在氮吹的同时利用水浴对样品进行加热，维持溶剂的挥发速度。本系统可实现样品溶剂的快速挥发和快速浓缩样品，广泛应用于农残检测实验室。</w:t>
            </w:r>
          </w:p>
          <w:p>
            <w:pPr>
              <w:numPr>
                <w:ilvl w:val="0"/>
                <w:numId w:val="29"/>
              </w:numPr>
              <w:spacing w:before="120" w:after="120" w:line="360" w:lineRule="auto"/>
              <w:ind w:left="425" w:leftChars="0" w:hanging="425" w:firstLineChars="0"/>
              <w:rPr>
                <w:rFonts w:hint="eastAsia" w:ascii="宋体" w:hAnsi="宋体" w:eastAsia="宋体" w:cs="宋体"/>
                <w:b/>
                <w:color w:val="000000"/>
                <w:sz w:val="21"/>
                <w:szCs w:val="21"/>
              </w:rPr>
            </w:pPr>
            <w:r>
              <w:rPr>
                <w:rFonts w:hint="eastAsia" w:ascii="宋体" w:hAnsi="宋体" w:eastAsia="宋体" w:cs="宋体"/>
                <w:b/>
                <w:color w:val="000000"/>
                <w:sz w:val="21"/>
                <w:szCs w:val="21"/>
              </w:rPr>
              <w:t>工 作 环 境 ：</w:t>
            </w:r>
          </w:p>
          <w:p>
            <w:pPr>
              <w:numPr>
                <w:ilvl w:val="0"/>
                <w:numId w:val="30"/>
              </w:numPr>
              <w:spacing w:before="120" w:after="120" w:line="360" w:lineRule="auto"/>
              <w:ind w:left="105"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操作温度 ： 环境温度 18 - 32℃，</w:t>
            </w:r>
          </w:p>
          <w:p>
            <w:pPr>
              <w:numPr>
                <w:ilvl w:val="0"/>
                <w:numId w:val="30"/>
              </w:numPr>
              <w:spacing w:before="120" w:after="120" w:line="360" w:lineRule="auto"/>
              <w:ind w:left="105"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rPr>
              <w:t xml:space="preserve">电源供给 ： </w:t>
            </w:r>
            <w:r>
              <w:rPr>
                <w:rFonts w:hint="eastAsia" w:ascii="宋体" w:hAnsi="宋体" w:eastAsia="宋体" w:cs="宋体"/>
                <w:sz w:val="21"/>
                <w:szCs w:val="21"/>
              </w:rPr>
              <w:t>220-240 V, 50/60 Hz</w:t>
            </w:r>
          </w:p>
          <w:p>
            <w:pPr>
              <w:numPr>
                <w:ilvl w:val="0"/>
                <w:numId w:val="0"/>
              </w:numPr>
              <w:spacing w:before="120" w:after="120" w:line="360" w:lineRule="auto"/>
              <w:ind w:left="105" w:leftChars="0"/>
              <w:rPr>
                <w:rFonts w:hint="eastAsia" w:ascii="宋体" w:hAnsi="宋体" w:eastAsia="宋体" w:cs="宋体"/>
                <w:color w:val="000000"/>
                <w:sz w:val="21"/>
                <w:szCs w:val="21"/>
              </w:rPr>
            </w:pPr>
            <w:r>
              <w:rPr>
                <w:rFonts w:hint="eastAsia" w:ascii="宋体" w:hAnsi="宋体" w:eastAsia="宋体" w:cs="宋体"/>
                <w:color w:val="000000"/>
                <w:sz w:val="21"/>
                <w:szCs w:val="21"/>
              </w:rPr>
              <w:t>3） 相对湿度 ： 20% - 90%， 无 凝 结</w:t>
            </w:r>
          </w:p>
          <w:p>
            <w:pPr>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 仪器性能指标：</w:t>
            </w:r>
          </w:p>
          <w:p>
            <w:pPr>
              <w:pStyle w:val="17"/>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3.1涡旋剪切气流：具有专利的</w:t>
            </w:r>
            <w:r>
              <w:rPr>
                <w:rFonts w:hint="eastAsia" w:ascii="宋体" w:hAnsi="宋体" w:eastAsia="宋体" w:cs="宋体"/>
                <w:color w:val="000000"/>
                <w:sz w:val="21"/>
                <w:szCs w:val="21"/>
              </w:rPr>
              <w:t>涡旋剪切气流</w:t>
            </w:r>
            <w:r>
              <w:rPr>
                <w:rFonts w:hint="eastAsia" w:ascii="宋体" w:hAnsi="宋体" w:eastAsia="宋体" w:cs="宋体"/>
                <w:sz w:val="21"/>
                <w:szCs w:val="21"/>
              </w:rPr>
              <w:t>技术，</w:t>
            </w:r>
            <w:r>
              <w:rPr>
                <w:rFonts w:hint="eastAsia" w:ascii="宋体" w:hAnsi="宋体" w:eastAsia="宋体" w:cs="宋体"/>
                <w:color w:val="000000"/>
                <w:kern w:val="0"/>
                <w:sz w:val="21"/>
                <w:szCs w:val="21"/>
              </w:rPr>
              <w:t>斜向吹扫样品</w:t>
            </w:r>
            <w:r>
              <w:rPr>
                <w:rFonts w:hint="eastAsia" w:ascii="宋体" w:hAnsi="宋体" w:eastAsia="宋体" w:cs="宋体"/>
                <w:sz w:val="21"/>
                <w:szCs w:val="21"/>
              </w:rPr>
              <w:t>使浓缩快速、有效。气流由管壁方向螺旋作用于样品，采用不深入样品管内部的短针（长度小于3cm），任何模式下不可采用长针直吹模式，使样品产生涡流运动避免样品由于氮气直吹而使样品溅出及粘附试管壁上的可能，使样品浓缩快速、平和，便于复溶。</w:t>
            </w:r>
          </w:p>
          <w:p>
            <w:pPr>
              <w:pStyle w:val="17"/>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3.2 气流可调范围：通过电磁流量阀控制气体流速，不得采用气压调节阀，从而实现流量的精确可重复的控制。流量可调范围0-3.5L/min，步进≤0.1 L/min，工作状态下显示的是气体流量，而不是压力，达到精确控制流速的目的。</w:t>
            </w:r>
          </w:p>
          <w:p>
            <w:pPr>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3.3 氮吹针控制：氮吹针≥6排，每排可独立开关且左右位置可调，每排的氮吹针数量≤9个，以保证各个氮吹针气流的均匀性。同时每个氮吹针可单独控制开关。</w:t>
            </w:r>
          </w:p>
          <w:p>
            <w:pPr>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3.4 氮吹针：氮吹针无需工具即可实现快速简单拆装，具有PTFE和不锈钢材质可供选择，以提供对不同溶剂的耐受能力，同时易于清洁和维护，避免因操作失误造成氮吹针污染及堵塞引起的气流不均匀</w:t>
            </w:r>
          </w:p>
          <w:p>
            <w:pPr>
              <w:pStyle w:val="17"/>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3.5 样品数量：适用的样品管体积范围1.5-200 mL，最大可同时处理样品数量≥48个，其中50 mL样品管≥24个。</w:t>
            </w:r>
          </w:p>
          <w:p>
            <w:pPr>
              <w:pStyle w:val="17"/>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3.6 多功能支架：设备采用多功能支架，多种不同规格的样品管可同时使用同一个支架而不必更换支架。1.5-60ml体积之间更换支架≤3个，支持使用塑料离心管，塑料离心管不会在水浴中浮起。</w:t>
            </w:r>
          </w:p>
          <w:p>
            <w:pPr>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3.7配备自动终点感知接口：设备支持自动定量浓缩和自动终点感知；采用自动定量浓缩模式时，同一支架支持使用50mL和200 mL定量浓缩管，并且同一个定量浓缩管支架可同时适用于0.5mL和1.0 mL两种不同的定量浓缩终点。</w:t>
            </w:r>
          </w:p>
          <w:p>
            <w:pPr>
              <w:spacing w:before="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3.8 操控面板：≥7英寸彩色触摸屏控制，可进行参数设置，方法建立、保存、调用以及显示运行参数等，操作简单。摒弃传统的薄膜按键式控制面板故障率高、功能单一、重现性差的缺点。</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3.9 方法编程：支持方法编程和存储，可实现浓缩过程中气流的自动控制， 而不需要在浓缩过程中手动调节气流，加快浓缩过程。</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3.10 四种气流控制模式：恒定模式、梯度模式、斜率模式、手动模式。可设置≥3种梯度的气流自动变化，提高氮吹效率，消除交叉污染的风险。</w:t>
            </w:r>
          </w:p>
          <w:p>
            <w:pPr>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3.11 可视化：侧面三面透明设计，可从多个角度直观观察浓缩进程，而不需要停机取出样品管观察，保证了工作的持续性。同时上盖透明，以确保随时观察气流设置的准确性和安全性，利于方法的设置和优化。</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sz w:val="21"/>
                <w:szCs w:val="21"/>
              </w:rPr>
              <w:t>3.12 具有水浴照明系统，进一步提升浓缩过程的可视化</w:t>
            </w:r>
          </w:p>
          <w:p>
            <w:pPr>
              <w:pStyle w:val="17"/>
              <w:tabs>
                <w:tab w:val="left" w:pos="1260"/>
              </w:tabs>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3.13 水浴温控范围：室温至90℃。</w:t>
            </w:r>
          </w:p>
          <w:p>
            <w:pPr>
              <w:pStyle w:val="17"/>
              <w:tabs>
                <w:tab w:val="left" w:pos="1260"/>
              </w:tabs>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3.14 控制模式：≥四种控制模式；定时浓缩，定量浓缩，定时+定量浓缩，人工控制。3.15 支持休眠模式，且具有自动唤醒功能，可在指定的时间启动加热，以缩短等待时间。</w:t>
            </w:r>
          </w:p>
          <w:p>
            <w:pPr>
              <w:pStyle w:val="17"/>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3.16 气源要求：使用氮气或空气，最小入口压力：87psi；最大入口压力：130psi。</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sz w:val="21"/>
                <w:szCs w:val="21"/>
                <w:lang w:val="zh-CN"/>
              </w:rPr>
              <w:t xml:space="preserve">3.17 </w:t>
            </w:r>
            <w:r>
              <w:rPr>
                <w:rFonts w:hint="eastAsia" w:ascii="宋体" w:hAnsi="宋体" w:eastAsia="宋体" w:cs="宋体"/>
                <w:color w:val="000000"/>
                <w:sz w:val="21"/>
                <w:szCs w:val="21"/>
              </w:rPr>
              <w:t>自带排气装置，可无需在通风橱中使用。</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3.18 即插即拔式排水口设计，换水更加方便。</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3.19 认证：CE认证、中国RoHS标准</w:t>
            </w:r>
          </w:p>
          <w:p>
            <w:pPr>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配置：</w:t>
            </w:r>
          </w:p>
          <w:p>
            <w:pPr>
              <w:widowControl/>
              <w:numPr>
                <w:ilvl w:val="0"/>
                <w:numId w:val="31"/>
              </w:numPr>
              <w:spacing w:after="120"/>
              <w:jc w:val="left"/>
              <w:rPr>
                <w:rFonts w:hint="eastAsia" w:ascii="宋体" w:hAnsi="宋体" w:eastAsia="宋体" w:cs="宋体"/>
                <w:sz w:val="21"/>
                <w:szCs w:val="21"/>
              </w:rPr>
            </w:pPr>
            <w:r>
              <w:rPr>
                <w:rFonts w:hint="eastAsia" w:ascii="宋体" w:hAnsi="宋体" w:eastAsia="宋体" w:cs="宋体"/>
                <w:sz w:val="21"/>
                <w:szCs w:val="21"/>
              </w:rPr>
              <w:t>多功能全自动样品浓缩仪主机1台</w:t>
            </w:r>
          </w:p>
          <w:p>
            <w:pPr>
              <w:widowControl/>
              <w:numPr>
                <w:ilvl w:val="0"/>
                <w:numId w:val="31"/>
              </w:numPr>
              <w:spacing w:after="120"/>
              <w:jc w:val="left"/>
              <w:rPr>
                <w:rFonts w:hint="eastAsia" w:ascii="宋体" w:hAnsi="宋体" w:eastAsia="宋体" w:cs="宋体"/>
                <w:sz w:val="21"/>
                <w:szCs w:val="21"/>
              </w:rPr>
            </w:pPr>
            <w:r>
              <w:rPr>
                <w:rFonts w:hint="eastAsia" w:ascii="宋体" w:hAnsi="宋体" w:eastAsia="宋体" w:cs="宋体"/>
                <w:sz w:val="21"/>
                <w:szCs w:val="21"/>
              </w:rPr>
              <w:t>48位10-20mm多功能试管支架1个（可适用10/15ml常规样品管）</w:t>
            </w:r>
          </w:p>
          <w:p>
            <w:pPr>
              <w:widowControl/>
              <w:numPr>
                <w:ilvl w:val="0"/>
                <w:numId w:val="31"/>
              </w:numPr>
              <w:spacing w:after="120"/>
              <w:jc w:val="left"/>
              <w:rPr>
                <w:rFonts w:hint="eastAsia" w:ascii="宋体" w:hAnsi="宋体" w:eastAsia="宋体" w:cs="宋体"/>
                <w:sz w:val="21"/>
                <w:szCs w:val="21"/>
                <w:vertAlign w:val="baseline"/>
              </w:rPr>
            </w:pPr>
            <w:r>
              <w:rPr>
                <w:rFonts w:hint="eastAsia" w:ascii="宋体" w:hAnsi="宋体" w:eastAsia="宋体" w:cs="宋体"/>
                <w:sz w:val="21"/>
                <w:szCs w:val="21"/>
              </w:rPr>
              <w:t>24位21-30mm多功能试管支架1个（可适用50ml离心管）</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1634" w:type="dxa"/>
            <w:vAlign w:val="center"/>
          </w:tcPr>
          <w:p>
            <w:pPr>
              <w:widowControl/>
              <w:jc w:val="left"/>
              <w:rPr>
                <w:rFonts w:hint="eastAsia" w:ascii="宋体" w:hAnsi="宋体" w:eastAsia="宋体" w:cs="宋体"/>
                <w:sz w:val="21"/>
                <w:szCs w:val="21"/>
                <w:vertAlign w:val="baseline"/>
              </w:rPr>
            </w:pPr>
            <w:r>
              <w:rPr>
                <w:rFonts w:hint="eastAsia" w:ascii="宋体" w:hAnsi="宋体" w:eastAsia="宋体" w:cs="宋体"/>
                <w:sz w:val="21"/>
                <w:szCs w:val="21"/>
              </w:rPr>
              <w:t>电导率仪</w:t>
            </w:r>
          </w:p>
        </w:tc>
        <w:tc>
          <w:tcPr>
            <w:tcW w:w="5534" w:type="dxa"/>
            <w:vAlign w:val="center"/>
          </w:tcPr>
          <w:p>
            <w:pPr>
              <w:pStyle w:val="28"/>
              <w:shd w:val="clear" w:color="auto" w:fill="FFFFFF"/>
              <w:spacing w:before="0" w:beforeAutospacing="0" w:after="0" w:afterAutospacing="0"/>
              <w:jc w:val="both"/>
              <w:rPr>
                <w:rFonts w:hint="eastAsia" w:ascii="宋体" w:hAnsi="宋体" w:eastAsia="宋体" w:cs="宋体"/>
                <w:color w:val="222222"/>
                <w:sz w:val="21"/>
                <w:szCs w:val="21"/>
              </w:rPr>
            </w:pPr>
            <w:r>
              <w:rPr>
                <w:rFonts w:hint="eastAsia" w:ascii="宋体" w:hAnsi="宋体" w:eastAsia="宋体" w:cs="宋体"/>
                <w:color w:val="222222"/>
                <w:sz w:val="21"/>
                <w:szCs w:val="21"/>
                <w:shd w:val="clear" w:color="auto" w:fill="FFFFFF"/>
              </w:rPr>
              <w:t>测量范围：</w:t>
            </w:r>
            <w:r>
              <w:rPr>
                <w:rFonts w:hint="eastAsia" w:ascii="宋体" w:hAnsi="宋体" w:eastAsia="宋体" w:cs="宋体"/>
                <w:color w:val="222222"/>
                <w:sz w:val="21"/>
                <w:szCs w:val="21"/>
              </w:rPr>
              <w:t>0.01uS/cm-500mS/cm（电导率）    0.01mg/L-300g/L（TDS）   </w:t>
            </w:r>
          </w:p>
          <w:p>
            <w:pPr>
              <w:pStyle w:val="28"/>
              <w:shd w:val="clear" w:color="auto" w:fill="FFFFFF"/>
              <w:spacing w:before="0" w:beforeAutospacing="0" w:after="0" w:afterAutospacing="0"/>
              <w:jc w:val="both"/>
              <w:rPr>
                <w:rFonts w:hint="eastAsia" w:ascii="宋体" w:hAnsi="宋体" w:eastAsia="宋体" w:cs="宋体"/>
                <w:color w:val="222222"/>
                <w:sz w:val="21"/>
                <w:szCs w:val="21"/>
              </w:rPr>
            </w:pPr>
            <w:r>
              <w:rPr>
                <w:rFonts w:hint="eastAsia" w:ascii="宋体" w:hAnsi="宋体" w:eastAsia="宋体" w:cs="宋体"/>
                <w:color w:val="222222"/>
                <w:sz w:val="21"/>
                <w:szCs w:val="21"/>
              </w:rPr>
              <w:t>0.00-42psu（盐度）</w:t>
            </w:r>
          </w:p>
          <w:p>
            <w:pPr>
              <w:pStyle w:val="28"/>
              <w:shd w:val="clear" w:color="auto" w:fill="FFFFFF"/>
              <w:spacing w:before="0" w:beforeAutospacing="0" w:after="0" w:afterAutospacing="0"/>
              <w:jc w:val="both"/>
              <w:rPr>
                <w:rFonts w:hint="eastAsia" w:ascii="宋体" w:hAnsi="宋体" w:eastAsia="宋体" w:cs="宋体"/>
                <w:color w:val="222222"/>
                <w:sz w:val="21"/>
                <w:szCs w:val="21"/>
              </w:rPr>
            </w:pPr>
            <w:r>
              <w:rPr>
                <w:rFonts w:hint="eastAsia" w:ascii="宋体" w:hAnsi="宋体" w:eastAsia="宋体" w:cs="宋体"/>
                <w:color w:val="222222"/>
                <w:sz w:val="21"/>
                <w:szCs w:val="21"/>
              </w:rPr>
              <w:t>-5~105°C</w:t>
            </w:r>
          </w:p>
          <w:p>
            <w:pPr>
              <w:pStyle w:val="28"/>
              <w:shd w:val="clear" w:color="auto" w:fill="FFFFFF"/>
              <w:spacing w:before="0" w:beforeAutospacing="0" w:after="0" w:afterAutospacing="0"/>
              <w:jc w:val="both"/>
              <w:rPr>
                <w:rFonts w:hint="eastAsia" w:ascii="宋体" w:hAnsi="宋体" w:eastAsia="宋体" w:cs="宋体"/>
                <w:color w:val="222222"/>
                <w:sz w:val="21"/>
                <w:szCs w:val="21"/>
              </w:rPr>
            </w:pPr>
            <w:r>
              <w:rPr>
                <w:rFonts w:hint="eastAsia" w:ascii="宋体" w:hAnsi="宋体" w:eastAsia="宋体" w:cs="宋体"/>
                <w:color w:val="222222"/>
                <w:sz w:val="21"/>
                <w:szCs w:val="21"/>
                <w:shd w:val="clear" w:color="auto" w:fill="FFFFFF"/>
              </w:rPr>
              <w:t>分辨率：0.1°C  精度：</w:t>
            </w:r>
            <w:r>
              <w:rPr>
                <w:rFonts w:hint="eastAsia" w:ascii="宋体" w:hAnsi="宋体" w:eastAsia="宋体" w:cs="宋体"/>
                <w:color w:val="222222"/>
                <w:sz w:val="21"/>
                <w:szCs w:val="21"/>
              </w:rPr>
              <w:t>±0.5%</w:t>
            </w:r>
          </w:p>
          <w:p>
            <w:pPr>
              <w:pStyle w:val="28"/>
              <w:shd w:val="clear" w:color="auto" w:fill="FFFFFF"/>
              <w:spacing w:before="0" w:beforeAutospacing="0" w:after="0" w:afterAutospacing="0"/>
              <w:jc w:val="both"/>
              <w:rPr>
                <w:rFonts w:hint="eastAsia" w:ascii="宋体" w:hAnsi="宋体" w:eastAsia="宋体" w:cs="宋体"/>
                <w:color w:val="222222"/>
                <w:sz w:val="21"/>
                <w:szCs w:val="21"/>
              </w:rPr>
            </w:pPr>
            <w:r>
              <w:rPr>
                <w:rFonts w:hint="eastAsia" w:ascii="宋体" w:hAnsi="宋体" w:eastAsia="宋体" w:cs="宋体"/>
                <w:color w:val="222222"/>
                <w:sz w:val="21"/>
                <w:szCs w:val="21"/>
              </w:rPr>
              <w:t>0.3°C</w:t>
            </w:r>
          </w:p>
          <w:p>
            <w:pPr>
              <w:spacing w:before="120" w:after="120" w:line="360" w:lineRule="auto"/>
              <w:rPr>
                <w:rFonts w:hint="eastAsia" w:ascii="宋体" w:hAnsi="宋体" w:eastAsia="宋体" w:cs="宋体"/>
                <w:color w:val="222222"/>
                <w:sz w:val="21"/>
                <w:szCs w:val="21"/>
                <w:shd w:val="clear" w:color="auto" w:fill="FFFFFF"/>
              </w:rPr>
            </w:pPr>
            <w:r>
              <w:rPr>
                <w:rFonts w:hint="eastAsia" w:ascii="宋体" w:hAnsi="宋体" w:eastAsia="宋体" w:cs="宋体"/>
                <w:color w:val="222222"/>
                <w:sz w:val="21"/>
                <w:szCs w:val="21"/>
                <w:shd w:val="clear" w:color="auto" w:fill="FFFFFF"/>
              </w:rPr>
              <w:t>存储容量：200组测量数据</w:t>
            </w:r>
          </w:p>
          <w:p>
            <w:pPr>
              <w:spacing w:before="120" w:after="120" w:line="360" w:lineRule="auto"/>
              <w:rPr>
                <w:rFonts w:hint="eastAsia" w:ascii="宋体" w:hAnsi="宋体" w:eastAsia="宋体" w:cs="宋体"/>
                <w:sz w:val="21"/>
                <w:szCs w:val="21"/>
                <w:vertAlign w:val="baseline"/>
              </w:rPr>
            </w:pPr>
            <w:r>
              <w:rPr>
                <w:rFonts w:hint="eastAsia" w:ascii="宋体" w:hAnsi="宋体" w:eastAsia="宋体" w:cs="宋体"/>
                <w:color w:val="222222"/>
                <w:sz w:val="21"/>
                <w:szCs w:val="21"/>
                <w:shd w:val="clear" w:color="auto" w:fill="FFFFFF"/>
              </w:rPr>
              <w:t>含主机，电导电极、电极支架、电导标准液等</w:t>
            </w:r>
          </w:p>
        </w:tc>
        <w:tc>
          <w:tcPr>
            <w:tcW w:w="1200"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1</w:t>
            </w:r>
          </w:p>
        </w:tc>
        <w:tc>
          <w:tcPr>
            <w:tcW w:w="942" w:type="dxa"/>
            <w:vAlign w:val="center"/>
          </w:tcPr>
          <w:p>
            <w:pPr>
              <w:widowControl/>
              <w:jc w:val="center"/>
              <w:rPr>
                <w:rFonts w:hint="eastAsia" w:ascii="宋体" w:hAnsi="宋体" w:eastAsia="宋体" w:cs="宋体"/>
                <w:sz w:val="21"/>
                <w:szCs w:val="21"/>
                <w:vertAlign w:val="baseline"/>
              </w:rPr>
            </w:pPr>
            <w:r>
              <w:rPr>
                <w:rFonts w:hint="eastAsia" w:ascii="宋体" w:hAnsi="宋体" w:eastAsia="宋体" w:cs="宋体"/>
                <w:kern w:val="0"/>
                <w:sz w:val="21"/>
                <w:szCs w:val="21"/>
              </w:rPr>
              <w:t>台</w:t>
            </w:r>
          </w:p>
        </w:tc>
      </w:tr>
    </w:tbl>
    <w:p>
      <w:pPr>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三、质量要求</w:t>
      </w:r>
    </w:p>
    <w:p>
      <w:pPr>
        <w:tabs>
          <w:tab w:val="left" w:pos="540"/>
          <w:tab w:val="left" w:pos="1494"/>
        </w:tabs>
        <w:adjustRightInd w:val="0"/>
        <w:snapToGrid w:val="0"/>
        <w:spacing w:line="360" w:lineRule="auto"/>
        <w:ind w:left="405" w:hanging="360" w:hangingChars="150"/>
        <w:rPr>
          <w:rFonts w:hint="eastAsia" w:ascii="宋体" w:hAnsi="宋体" w:eastAsia="宋体" w:cs="宋体"/>
          <w:sz w:val="24"/>
          <w:szCs w:val="24"/>
        </w:rPr>
      </w:pPr>
      <w:r>
        <w:rPr>
          <w:rFonts w:hint="eastAsia" w:ascii="宋体" w:hAnsi="宋体" w:eastAsia="宋体" w:cs="宋体"/>
          <w:sz w:val="24"/>
          <w:szCs w:val="24"/>
        </w:rPr>
        <w:t>1、供方须提供原制造商制造的全新产品，整机无污染，无侵权行为、表面无划损、无任何缺陷隐患，完全符合国家的有关质量标准，在中国境内可依常规安全合法使用。</w:t>
      </w:r>
    </w:p>
    <w:p>
      <w:pPr>
        <w:tabs>
          <w:tab w:val="left" w:pos="540"/>
          <w:tab w:val="left" w:pos="1494"/>
        </w:tabs>
        <w:adjustRightInd w:val="0"/>
        <w:snapToGrid w:val="0"/>
        <w:spacing w:line="360" w:lineRule="auto"/>
        <w:ind w:left="405" w:hanging="360" w:hangingChars="150"/>
        <w:rPr>
          <w:rFonts w:hint="eastAsia" w:ascii="宋体" w:hAnsi="宋体" w:eastAsia="宋体" w:cs="宋体"/>
          <w:sz w:val="24"/>
          <w:szCs w:val="24"/>
        </w:rPr>
      </w:pPr>
      <w:r>
        <w:rPr>
          <w:rFonts w:hint="eastAsia" w:ascii="宋体" w:hAnsi="宋体" w:eastAsia="宋体" w:cs="宋体"/>
          <w:sz w:val="24"/>
          <w:szCs w:val="24"/>
        </w:rPr>
        <w:t>2、产品为原厂商未启封全新包装，序列号、包装箱号与出厂批号一致，并可追索查阅。随机备件备品、装箱单、随机资料(中文)及产品包装完整无破损。</w:t>
      </w:r>
    </w:p>
    <w:p>
      <w:pPr>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四、售后服务要求</w:t>
      </w:r>
      <w:bookmarkStart w:id="17" w:name="_Toc187458718"/>
      <w:bookmarkStart w:id="18" w:name="_Toc185129603"/>
    </w:p>
    <w:bookmarkEnd w:id="17"/>
    <w:bookmarkEnd w:id="18"/>
    <w:p>
      <w:pPr>
        <w:pStyle w:val="84"/>
        <w:numPr>
          <w:ilvl w:val="2"/>
          <w:numId w:val="0"/>
        </w:numPr>
        <w:adjustRightInd w:val="0"/>
        <w:spacing w:line="360" w:lineRule="auto"/>
        <w:ind w:leftChars="200"/>
        <w:jc w:val="both"/>
        <w:rPr>
          <w:rFonts w:hint="eastAsia" w:ascii="宋体" w:hAnsi="宋体" w:eastAsia="宋体" w:cs="宋体"/>
          <w:sz w:val="24"/>
          <w:szCs w:val="24"/>
          <w:lang w:val="en-US"/>
        </w:rPr>
      </w:pPr>
      <w:r>
        <w:rPr>
          <w:rFonts w:hint="eastAsia" w:ascii="宋体" w:hAnsi="宋体" w:eastAsia="宋体" w:cs="宋体"/>
          <w:sz w:val="24"/>
          <w:szCs w:val="24"/>
          <w:lang w:val="en-US"/>
        </w:rPr>
        <w:t>以书面形式承诺维修服务。</w:t>
      </w:r>
    </w:p>
    <w:p>
      <w:pPr>
        <w:numPr>
          <w:ilvl w:val="0"/>
          <w:numId w:val="0"/>
        </w:numPr>
        <w:tabs>
          <w:tab w:val="left" w:pos="540"/>
          <w:tab w:val="left" w:pos="1494"/>
        </w:tabs>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系统故障保修响应时间为：2小时内响应到用户现场。如果系统故障在检修</w:t>
      </w:r>
    </w:p>
    <w:p>
      <w:pPr>
        <w:tabs>
          <w:tab w:val="left" w:pos="540"/>
          <w:tab w:val="left" w:pos="1494"/>
        </w:tabs>
        <w:adjustRightInd w:val="0"/>
        <w:snapToGrid w:val="0"/>
        <w:spacing w:line="360" w:lineRule="auto"/>
        <w:ind w:left="500" w:leftChars="250"/>
        <w:rPr>
          <w:rFonts w:hint="eastAsia" w:ascii="宋体" w:hAnsi="宋体" w:eastAsia="宋体" w:cs="宋体"/>
          <w:sz w:val="24"/>
          <w:szCs w:val="24"/>
        </w:rPr>
      </w:pPr>
      <w:r>
        <w:rPr>
          <w:rFonts w:hint="eastAsia" w:ascii="宋体" w:hAnsi="宋体" w:eastAsia="宋体" w:cs="宋体"/>
          <w:sz w:val="24"/>
          <w:szCs w:val="24"/>
        </w:rPr>
        <w:t>8小时后仍无法排除，投标方应在24小时内提供不低于故障产品规格型号档次的备用产品供用户使用，直至故障产品修复。对于重大紧急故障，中标人技术人员在1小时内到达最终用户现场免费服务。</w:t>
      </w:r>
    </w:p>
    <w:p>
      <w:pPr>
        <w:numPr>
          <w:ilvl w:val="0"/>
          <w:numId w:val="0"/>
        </w:numPr>
        <w:tabs>
          <w:tab w:val="left" w:pos="540"/>
          <w:tab w:val="left" w:pos="1494"/>
        </w:tabs>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设备按厂家保修政策保修，设备提供不少一年免费上门保修，且供货商须承诺所有设备免费上门维修。</w:t>
      </w:r>
    </w:p>
    <w:p>
      <w:pPr>
        <w:numPr>
          <w:ilvl w:val="0"/>
          <w:numId w:val="0"/>
        </w:numPr>
        <w:tabs>
          <w:tab w:val="left" w:pos="540"/>
          <w:tab w:val="left" w:pos="1494"/>
        </w:tabs>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保修期内用户所购设备各部件发生非人为故障，供货商应下一工作日内免费上门更换同种品牌规格型号的新部件；设备发生人为故障的，供货商应上门更换同种品牌规格型号的新部件，只收零配件成本，不加收其它任何费用。</w:t>
      </w:r>
    </w:p>
    <w:p>
      <w:pPr>
        <w:numPr>
          <w:ilvl w:val="0"/>
          <w:numId w:val="0"/>
        </w:numPr>
        <w:tabs>
          <w:tab w:val="left" w:pos="540"/>
          <w:tab w:val="left" w:pos="1494"/>
        </w:tabs>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供货商24小时免费提供技术支持；永久性免费提供电话技术指导和咨询服务。</w:t>
      </w:r>
    </w:p>
    <w:p>
      <w:pPr>
        <w:numPr>
          <w:ilvl w:val="0"/>
          <w:numId w:val="0"/>
        </w:numPr>
        <w:tabs>
          <w:tab w:val="left" w:pos="540"/>
          <w:tab w:val="left" w:pos="1494"/>
        </w:tabs>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交货时提供产品质量合格证书。</w:t>
      </w:r>
    </w:p>
    <w:p>
      <w:pPr>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五、报价要求</w:t>
      </w:r>
    </w:p>
    <w:p>
      <w:pPr>
        <w:adjustRightInd w:val="0"/>
        <w:snapToGrid w:val="0"/>
        <w:spacing w:line="360" w:lineRule="auto"/>
        <w:ind w:firstLine="470" w:firstLineChars="196"/>
        <w:rPr>
          <w:rFonts w:hint="eastAsia" w:ascii="宋体" w:hAnsi="宋体" w:eastAsia="宋体" w:cs="宋体"/>
          <w:b/>
          <w:bCs/>
          <w:color w:val="auto"/>
          <w:sz w:val="24"/>
          <w:szCs w:val="24"/>
          <w:lang w:eastAsia="zh-CN"/>
        </w:rPr>
      </w:pPr>
      <w:r>
        <w:rPr>
          <w:rFonts w:hint="eastAsia" w:ascii="宋体" w:hAnsi="宋体" w:eastAsia="宋体" w:cs="宋体"/>
          <w:sz w:val="24"/>
          <w:szCs w:val="24"/>
        </w:rPr>
        <w:t>包括设备费用、运输费、装卸搬运费、维护费、相应各种税费及与之产生的费用，招标方不再另付任何费用。投标人所投报的设备必须成套和完整，在本投标文件的用户需求中未列明但属于设备正常运行的所需配件必须一并报价，并在投标价格明细表中列出，如果在安装运行过程发现有缺项漏项，且又是设备正常运行所必须的，中标人必须无偿提供，不得再收取任何费用。</w:t>
      </w:r>
    </w:p>
    <w:p>
      <w:pPr>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六、交货时间和地点、要求</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1.交货地点(货物安装地点)</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产品交付、检验、安装使用地点:</w:t>
      </w:r>
      <w:r>
        <w:rPr>
          <w:rFonts w:hint="eastAsia" w:ascii="宋体" w:hAnsi="宋体" w:eastAsia="宋体" w:cs="宋体"/>
          <w:sz w:val="24"/>
          <w:szCs w:val="24"/>
          <w:lang w:val="en-US" w:eastAsia="zh-CN"/>
        </w:rPr>
        <w:t>采购人指定地点。</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2.包装要求</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要求使用国际通用的标准包装，适合于长途运输，外包装到货时完好无损。</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3.交货时间及验收</w:t>
      </w:r>
    </w:p>
    <w:p>
      <w:pPr>
        <w:tabs>
          <w:tab w:val="left" w:pos="540"/>
          <w:tab w:val="left" w:pos="1494"/>
        </w:tabs>
        <w:adjustRightInd w:val="0"/>
        <w:snapToGrid w:val="0"/>
        <w:spacing w:line="360" w:lineRule="auto"/>
        <w:ind w:left="360"/>
        <w:rPr>
          <w:rFonts w:hint="eastAsia" w:ascii="宋体" w:hAnsi="宋体" w:eastAsia="宋体" w:cs="宋体"/>
          <w:sz w:val="24"/>
          <w:szCs w:val="24"/>
        </w:rPr>
      </w:pPr>
      <w:r>
        <w:rPr>
          <w:rFonts w:hint="eastAsia" w:ascii="宋体" w:hAnsi="宋体" w:eastAsia="宋体" w:cs="宋体"/>
          <w:sz w:val="24"/>
          <w:szCs w:val="24"/>
        </w:rPr>
        <w:t>在合同签订生效起</w:t>
      </w:r>
      <w:r>
        <w:rPr>
          <w:rFonts w:hint="eastAsia" w:ascii="宋体" w:hAnsi="宋体" w:eastAsia="宋体" w:cs="宋体"/>
          <w:sz w:val="24"/>
          <w:szCs w:val="24"/>
          <w:lang w:val="en-US" w:eastAsia="zh-CN"/>
        </w:rPr>
        <w:t>5</w:t>
      </w:r>
      <w:r>
        <w:rPr>
          <w:rFonts w:hint="eastAsia" w:ascii="宋体" w:hAnsi="宋体" w:eastAsia="宋体" w:cs="宋体"/>
          <w:sz w:val="24"/>
          <w:szCs w:val="24"/>
        </w:rPr>
        <w:t>0天内完成交货安装及调试，并提交项目验收报告。</w:t>
      </w:r>
    </w:p>
    <w:p>
      <w:pPr>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七、付款方式</w:t>
      </w:r>
    </w:p>
    <w:p>
      <w:pPr>
        <w:snapToGrid w:val="0"/>
        <w:spacing w:line="360" w:lineRule="auto"/>
        <w:ind w:left="270" w:hanging="240" w:hangingChars="100"/>
        <w:outlineLvl w:val="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采购人在完成仪器设备安装、调试及验收合格后，在收到中标人的付款申请及齐全的申请凭证后，于十五个工作日内按照政府采购支付流程办理付款申请，因采购人使用的是财政资金，在规定时间内提出支付申请手续后即视为采购人已经按期支付。</w:t>
      </w:r>
    </w:p>
    <w:p>
      <w:pPr>
        <w:pStyle w:val="16"/>
        <w:snapToGrid w:val="0"/>
        <w:spacing w:line="360" w:lineRule="auto"/>
        <w:rPr>
          <w:rFonts w:hint="eastAsia" w:ascii="宋体" w:hAnsi="宋体" w:eastAsia="宋体" w:cs="宋体"/>
          <w:sz w:val="24"/>
          <w:szCs w:val="24"/>
        </w:rPr>
      </w:pPr>
      <w:r>
        <w:rPr>
          <w:rFonts w:hint="eastAsia" w:ascii="宋体" w:hAnsi="宋体" w:eastAsia="宋体" w:cs="宋体"/>
          <w:sz w:val="24"/>
          <w:szCs w:val="24"/>
        </w:rPr>
        <w:t>2、中标人在提出付款申请时，必须提供由中标人开具的正式合法发票。</w:t>
      </w:r>
    </w:p>
    <w:p>
      <w:pPr>
        <w:pStyle w:val="29"/>
        <w:jc w:val="center"/>
        <w:rPr>
          <w:rFonts w:hint="eastAsia" w:ascii="宋体" w:hAnsi="宋体" w:eastAsia="宋体" w:cs="宋体"/>
          <w:color w:val="auto"/>
          <w:kern w:val="44"/>
          <w:highlight w:val="none"/>
        </w:rPr>
      </w:pPr>
      <w:r>
        <w:rPr>
          <w:rFonts w:hint="eastAsia" w:ascii="宋体" w:hAnsi="宋体" w:eastAsia="宋体" w:cs="宋体"/>
          <w:color w:val="auto"/>
          <w:kern w:val="44"/>
          <w:highlight w:val="none"/>
        </w:rPr>
        <w:br w:type="page"/>
      </w:r>
      <w:r>
        <w:rPr>
          <w:rFonts w:hint="eastAsia" w:ascii="宋体" w:hAnsi="宋体" w:eastAsia="宋体" w:cs="宋体"/>
          <w:color w:val="auto"/>
          <w:kern w:val="44"/>
          <w:highlight w:val="none"/>
        </w:rPr>
        <w:t>第四章  投标文件部分格式要求</w:t>
      </w:r>
    </w:p>
    <w:p>
      <w:pPr>
        <w:spacing w:line="360" w:lineRule="auto"/>
        <w:jc w:val="center"/>
        <w:rPr>
          <w:rFonts w:hint="eastAsia" w:ascii="宋体" w:hAnsi="宋体" w:eastAsia="宋体" w:cs="宋体"/>
          <w:b/>
          <w:color w:val="auto"/>
          <w:szCs w:val="21"/>
          <w:highlight w:val="none"/>
        </w:rPr>
      </w:pPr>
    </w:p>
    <w:p>
      <w:pPr>
        <w:pStyle w:val="3"/>
        <w:rPr>
          <w:rStyle w:val="38"/>
          <w:rFonts w:hint="eastAsia" w:ascii="宋体" w:hAnsi="宋体" w:eastAsia="宋体" w:cs="宋体"/>
          <w:b/>
          <w:color w:val="auto"/>
          <w:sz w:val="28"/>
          <w:szCs w:val="28"/>
          <w:highlight w:val="none"/>
          <w:u w:val="none"/>
        </w:rPr>
      </w:pPr>
      <w:r>
        <w:rPr>
          <w:rStyle w:val="38"/>
          <w:rFonts w:hint="eastAsia" w:ascii="宋体" w:hAnsi="宋体" w:eastAsia="宋体" w:cs="宋体"/>
          <w:b/>
          <w:color w:val="auto"/>
          <w:sz w:val="28"/>
          <w:szCs w:val="28"/>
          <w:highlight w:val="none"/>
          <w:u w:val="none"/>
        </w:rPr>
        <w:t>一、投标文件密封袋正面书写内容格式</w:t>
      </w:r>
    </w:p>
    <w:p>
      <w:pPr>
        <w:spacing w:line="360" w:lineRule="auto"/>
        <w:jc w:val="center"/>
        <w:rPr>
          <w:rFonts w:hint="eastAsia" w:ascii="宋体" w:hAnsi="宋体" w:eastAsia="宋体" w:cs="宋体"/>
          <w:b/>
          <w:color w:val="auto"/>
          <w:sz w:val="44"/>
          <w:szCs w:val="44"/>
          <w:highlight w:val="none"/>
          <w:u w:val="single"/>
        </w:rPr>
      </w:pP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2021年罗定市农产品质量安全监督检测站仪器</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设备采购项目</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ind w:left="126"/>
        <w:rPr>
          <w:rFonts w:hint="eastAsia" w:ascii="宋体" w:hAnsi="宋体" w:eastAsia="宋体" w:cs="宋体"/>
          <w:color w:val="auto"/>
          <w:sz w:val="72"/>
          <w:szCs w:val="72"/>
          <w:highlight w:val="none"/>
        </w:rPr>
      </w:pPr>
      <w:bookmarkStart w:id="19" w:name="_Toc178151266"/>
      <w:r>
        <w:rPr>
          <w:rFonts w:hint="eastAsia" w:ascii="宋体" w:hAnsi="宋体" w:eastAsia="宋体" w:cs="宋体"/>
          <w:color w:val="auto"/>
          <w:sz w:val="72"/>
          <w:szCs w:val="72"/>
          <w:highlight w:val="none"/>
        </w:rPr>
        <w:t>投标文件</w:t>
      </w:r>
      <w:bookmarkEnd w:id="19"/>
    </w:p>
    <w:p>
      <w:pPr>
        <w:ind w:left="538"/>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snapToGrid w:val="0"/>
        <w:spacing w:line="600" w:lineRule="exact"/>
        <w:ind w:left="2050" w:leftChars="540" w:hanging="970" w:hangingChars="302"/>
        <w:rPr>
          <w:rFonts w:hint="eastAsia" w:ascii="宋体" w:hAnsi="宋体" w:eastAsia="宋体" w:cs="宋体"/>
          <w:b/>
          <w:color w:val="auto"/>
          <w:sz w:val="32"/>
          <w:szCs w:val="32"/>
          <w:highlight w:val="none"/>
        </w:rPr>
      </w:pPr>
    </w:p>
    <w:p>
      <w:pPr>
        <w:snapToGrid w:val="0"/>
        <w:spacing w:line="600" w:lineRule="exact"/>
        <w:ind w:left="2050" w:leftChars="540" w:hanging="970" w:hangingChars="30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投标人名称（盖公章）：__________________________</w:t>
      </w:r>
    </w:p>
    <w:p>
      <w:pPr>
        <w:snapToGrid w:val="0"/>
        <w:spacing w:line="600" w:lineRule="exact"/>
        <w:ind w:left="2050" w:leftChars="540" w:hanging="970" w:hangingChars="30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法定代表人或其委托代理人（签</w:t>
      </w:r>
      <w:r>
        <w:rPr>
          <w:rFonts w:hint="eastAsia" w:ascii="宋体" w:hAnsi="宋体" w:cs="宋体"/>
          <w:b/>
          <w:color w:val="auto"/>
          <w:sz w:val="32"/>
          <w:szCs w:val="32"/>
          <w:highlight w:val="none"/>
          <w:lang w:eastAsia="zh-CN"/>
        </w:rPr>
        <w:t>章</w:t>
      </w:r>
      <w:r>
        <w:rPr>
          <w:rFonts w:hint="eastAsia" w:ascii="宋体" w:hAnsi="宋体" w:eastAsia="宋体" w:cs="宋体"/>
          <w:b/>
          <w:color w:val="auto"/>
          <w:sz w:val="32"/>
          <w:szCs w:val="32"/>
          <w:highlight w:val="none"/>
        </w:rPr>
        <w:t xml:space="preserve">）：______________       </w:t>
      </w:r>
    </w:p>
    <w:p>
      <w:pPr>
        <w:snapToGrid w:val="0"/>
        <w:spacing w:line="600" w:lineRule="exact"/>
        <w:ind w:left="2050" w:leftChars="540" w:hanging="970" w:hangingChars="302"/>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投标人地址：____________________________________</w:t>
      </w:r>
    </w:p>
    <w:p>
      <w:pPr>
        <w:tabs>
          <w:tab w:val="left" w:pos="0"/>
        </w:tabs>
        <w:spacing w:line="600" w:lineRule="exact"/>
        <w:ind w:left="2050" w:leftChars="540" w:right="372" w:hanging="970" w:hangingChars="30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邮政编码：_____________</w:t>
      </w:r>
    </w:p>
    <w:p>
      <w:pPr>
        <w:ind w:left="2050" w:leftChars="720" w:hanging="610" w:hangingChars="19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ind w:left="1260" w:leftChars="630"/>
        <w:rPr>
          <w:rFonts w:hint="eastAsia" w:ascii="宋体" w:hAnsi="宋体" w:eastAsia="宋体" w:cs="宋体"/>
          <w:color w:val="auto"/>
          <w:highlight w:val="none"/>
        </w:rPr>
      </w:pPr>
      <w:r>
        <w:rPr>
          <w:rFonts w:hint="eastAsia" w:ascii="宋体" w:hAnsi="宋体" w:eastAsia="宋体" w:cs="宋体"/>
          <w:b/>
          <w:color w:val="auto"/>
          <w:sz w:val="32"/>
          <w:szCs w:val="32"/>
          <w:highlight w:val="none"/>
          <w:u w:val="single"/>
        </w:rPr>
        <w:t xml:space="preserve">   年　月　日  时整开标，此时间以前不得开封。</w:t>
      </w:r>
    </w:p>
    <w:p>
      <w:pPr>
        <w:pStyle w:val="25"/>
        <w:rPr>
          <w:rStyle w:val="38"/>
          <w:rFonts w:hint="eastAsia" w:ascii="宋体" w:hAnsi="宋体" w:eastAsia="宋体" w:cs="宋体"/>
          <w:color w:val="auto"/>
          <w:highlight w:val="none"/>
        </w:rPr>
      </w:pPr>
      <w:r>
        <w:rPr>
          <w:rStyle w:val="38"/>
          <w:rFonts w:hint="eastAsia" w:ascii="宋体" w:hAnsi="宋体" w:eastAsia="宋体" w:cs="宋体"/>
          <w:color w:val="auto"/>
          <w:highlight w:val="none"/>
        </w:rPr>
        <w:br w:type="page"/>
      </w:r>
      <w:r>
        <w:rPr>
          <w:rStyle w:val="38"/>
          <w:rFonts w:hint="eastAsia" w:ascii="宋体" w:hAnsi="宋体" w:eastAsia="宋体" w:cs="宋体"/>
          <w:color w:val="auto"/>
          <w:highlight w:val="none"/>
          <w:u w:val="none"/>
        </w:rPr>
        <w:t>二、投标文件封面格式</w:t>
      </w:r>
    </w:p>
    <w:p>
      <w:pPr>
        <w:jc w:val="right"/>
        <w:rPr>
          <w:rFonts w:hint="eastAsia" w:ascii="宋体" w:hAnsi="宋体" w:eastAsia="宋体" w:cs="宋体"/>
          <w:b/>
          <w:color w:val="auto"/>
          <w:sz w:val="30"/>
          <w:szCs w:val="30"/>
          <w:highlight w:val="none"/>
        </w:rPr>
      </w:pPr>
    </w:p>
    <w:p>
      <w:pPr>
        <w:jc w:val="righ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正本或副本</w:t>
      </w:r>
    </w:p>
    <w:p>
      <w:pPr>
        <w:jc w:val="right"/>
        <w:rPr>
          <w:rFonts w:hint="eastAsia" w:ascii="宋体" w:hAnsi="宋体" w:eastAsia="宋体" w:cs="宋体"/>
          <w:b/>
          <w:color w:val="auto"/>
          <w:sz w:val="30"/>
          <w:szCs w:val="30"/>
          <w:highlight w:val="none"/>
        </w:rPr>
      </w:pPr>
    </w:p>
    <w:p>
      <w:pPr>
        <w:jc w:val="center"/>
        <w:rPr>
          <w:rFonts w:hint="eastAsia" w:ascii="宋体" w:hAnsi="宋体"/>
          <w:b/>
          <w:bCs/>
          <w:sz w:val="44"/>
          <w:szCs w:val="44"/>
          <w:lang w:val="en-US" w:eastAsia="zh-CN"/>
        </w:rPr>
      </w:pPr>
      <w:r>
        <w:rPr>
          <w:rFonts w:hint="eastAsia" w:ascii="宋体" w:hAnsi="宋体"/>
          <w:b/>
          <w:bCs/>
          <w:sz w:val="44"/>
          <w:szCs w:val="44"/>
          <w:lang w:val="en-US" w:eastAsia="zh-CN"/>
        </w:rPr>
        <w:t>2021年罗定市农产品质量安全监督检测站仪器</w:t>
      </w:r>
    </w:p>
    <w:p>
      <w:pPr>
        <w:jc w:val="center"/>
        <w:rPr>
          <w:rFonts w:hint="eastAsia" w:ascii="宋体" w:hAnsi="宋体" w:eastAsia="宋体" w:cs="宋体"/>
          <w:b/>
          <w:bCs/>
          <w:color w:val="auto"/>
          <w:sz w:val="44"/>
          <w:szCs w:val="44"/>
          <w:highlight w:val="none"/>
        </w:rPr>
      </w:pPr>
      <w:r>
        <w:rPr>
          <w:rFonts w:hint="eastAsia" w:ascii="宋体" w:hAnsi="宋体"/>
          <w:b/>
          <w:bCs/>
          <w:sz w:val="44"/>
          <w:szCs w:val="44"/>
          <w:lang w:val="en-US" w:eastAsia="zh-CN"/>
        </w:rPr>
        <w:t>设备采购项目</w:t>
      </w:r>
    </w:p>
    <w:p>
      <w:pPr>
        <w:pStyle w:val="3"/>
        <w:ind w:left="126"/>
        <w:rPr>
          <w:rFonts w:hint="eastAsia" w:ascii="宋体" w:hAnsi="宋体" w:eastAsia="宋体" w:cs="宋体"/>
          <w:color w:val="auto"/>
          <w:sz w:val="72"/>
          <w:szCs w:val="72"/>
          <w:highlight w:val="none"/>
        </w:rPr>
      </w:pPr>
    </w:p>
    <w:p>
      <w:pPr>
        <w:pStyle w:val="3"/>
        <w:ind w:left="126"/>
        <w:rPr>
          <w:rFonts w:hint="eastAsia" w:ascii="宋体" w:hAnsi="宋体" w:eastAsia="宋体" w:cs="宋体"/>
          <w:color w:val="auto"/>
          <w:sz w:val="72"/>
          <w:szCs w:val="72"/>
          <w:highlight w:val="none"/>
        </w:rPr>
      </w:pPr>
    </w:p>
    <w:p>
      <w:pPr>
        <w:pStyle w:val="3"/>
        <w:ind w:left="126"/>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投标文件</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color w:val="auto"/>
          <w:sz w:val="28"/>
          <w:highlight w:val="none"/>
        </w:rPr>
      </w:pPr>
    </w:p>
    <w:p>
      <w:pPr>
        <w:snapToGrid w:val="0"/>
        <w:spacing w:line="480" w:lineRule="auto"/>
        <w:ind w:left="1440" w:leftChars="720"/>
        <w:rPr>
          <w:rFonts w:hint="eastAsia" w:ascii="宋体" w:hAnsi="宋体" w:eastAsia="宋体" w:cs="宋体"/>
          <w:color w:val="auto"/>
          <w:sz w:val="30"/>
          <w:highlight w:val="none"/>
        </w:rPr>
      </w:pPr>
    </w:p>
    <w:p>
      <w:pPr>
        <w:snapToGrid w:val="0"/>
        <w:spacing w:line="600" w:lineRule="exact"/>
        <w:ind w:left="1440" w:leftChars="720"/>
        <w:rPr>
          <w:rFonts w:hint="eastAsia" w:ascii="宋体" w:hAnsi="宋体" w:eastAsia="宋体" w:cs="宋体"/>
          <w:color w:val="auto"/>
          <w:sz w:val="30"/>
          <w:highlight w:val="none"/>
        </w:rPr>
      </w:pPr>
    </w:p>
    <w:p>
      <w:pPr>
        <w:snapToGrid w:val="0"/>
        <w:spacing w:line="600" w:lineRule="exact"/>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投  标  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（盖公章）</w:t>
      </w:r>
    </w:p>
    <w:p>
      <w:pPr>
        <w:snapToGrid w:val="0"/>
        <w:spacing w:line="600" w:lineRule="exact"/>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法定代表人或其委托代理人：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（签</w:t>
      </w:r>
      <w:r>
        <w:rPr>
          <w:rFonts w:hint="eastAsia" w:ascii="宋体" w:hAnsi="宋体" w:cs="宋体"/>
          <w:color w:val="auto"/>
          <w:sz w:val="30"/>
          <w:highlight w:val="none"/>
          <w:u w:val="single"/>
          <w:lang w:eastAsia="zh-CN"/>
        </w:rPr>
        <w:t>章</w:t>
      </w:r>
      <w:r>
        <w:rPr>
          <w:rFonts w:hint="eastAsia" w:ascii="宋体" w:hAnsi="宋体" w:eastAsia="宋体" w:cs="宋体"/>
          <w:color w:val="auto"/>
          <w:sz w:val="30"/>
          <w:highlight w:val="none"/>
          <w:u w:val="single"/>
        </w:rPr>
        <w:t>）</w:t>
      </w:r>
    </w:p>
    <w:p>
      <w:pPr>
        <w:spacing w:line="600" w:lineRule="exact"/>
        <w:ind w:firstLine="1500" w:firstLineChars="500"/>
        <w:rPr>
          <w:rFonts w:hint="eastAsia" w:ascii="宋体" w:hAnsi="宋体" w:eastAsia="宋体" w:cs="宋体"/>
          <w:color w:val="auto"/>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 xml:space="preserve"> 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 xml:space="preserve"> 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rPr>
          <w:rFonts w:hint="eastAsia" w:ascii="宋体" w:hAnsi="宋体" w:eastAsia="宋体" w:cs="宋体"/>
          <w:color w:val="auto"/>
          <w:highlight w:val="none"/>
        </w:rPr>
      </w:pPr>
    </w:p>
    <w:p>
      <w:pPr>
        <w:pStyle w:val="25"/>
        <w:rPr>
          <w:rStyle w:val="38"/>
          <w:rFonts w:hint="eastAsia" w:ascii="宋体" w:hAnsi="宋体" w:eastAsia="宋体" w:cs="宋体"/>
          <w:b w:val="0"/>
          <w:color w:val="auto"/>
          <w:highlight w:val="none"/>
        </w:rPr>
      </w:pPr>
      <w:r>
        <w:rPr>
          <w:rStyle w:val="38"/>
          <w:rFonts w:hint="eastAsia" w:ascii="宋体" w:hAnsi="宋体" w:eastAsia="宋体" w:cs="宋体"/>
          <w:b w:val="0"/>
          <w:color w:val="auto"/>
          <w:highlight w:val="none"/>
        </w:rPr>
        <w:br w:type="page"/>
      </w:r>
    </w:p>
    <w:p>
      <w:pPr>
        <w:pStyle w:val="25"/>
        <w:rPr>
          <w:rStyle w:val="38"/>
          <w:rFonts w:hint="eastAsia" w:ascii="宋体" w:hAnsi="宋体" w:eastAsia="宋体" w:cs="宋体"/>
          <w:b w:val="0"/>
          <w:color w:val="auto"/>
          <w:highlight w:val="none"/>
        </w:rPr>
      </w:pPr>
    </w:p>
    <w:p>
      <w:pPr>
        <w:spacing w:line="360" w:lineRule="auto"/>
        <w:jc w:val="center"/>
        <w:rPr>
          <w:rFonts w:hint="eastAsia" w:ascii="宋体" w:hAnsi="宋体" w:eastAsia="宋体" w:cs="宋体"/>
          <w:color w:val="auto"/>
          <w:sz w:val="28"/>
          <w:szCs w:val="28"/>
          <w:highlight w:val="none"/>
          <w:u w:val="single"/>
        </w:rPr>
      </w:pPr>
    </w:p>
    <w:p>
      <w:pPr>
        <w:spacing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2021年罗定市农产品质量安全监督检测站仪器</w:t>
      </w:r>
    </w:p>
    <w:p>
      <w:pPr>
        <w:spacing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设备采购项目</w:t>
      </w:r>
    </w:p>
    <w:p>
      <w:pPr>
        <w:spacing w:line="360" w:lineRule="auto"/>
        <w:jc w:val="center"/>
        <w:rPr>
          <w:rFonts w:hint="eastAsia" w:ascii="宋体" w:hAnsi="宋体" w:eastAsia="宋体" w:cs="宋体"/>
          <w:b/>
          <w:color w:val="auto"/>
          <w:sz w:val="52"/>
          <w:szCs w:val="52"/>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投标文件</w:t>
      </w:r>
    </w:p>
    <w:p>
      <w:pPr>
        <w:spacing w:line="360" w:lineRule="auto"/>
        <w:jc w:val="center"/>
        <w:rPr>
          <w:rFonts w:hint="eastAsia" w:ascii="宋体" w:hAnsi="宋体" w:eastAsia="宋体" w:cs="宋体"/>
          <w:b/>
          <w:color w:val="auto"/>
          <w:sz w:val="44"/>
          <w:szCs w:val="44"/>
          <w:highlight w:val="none"/>
          <w:u w:val="single"/>
        </w:rPr>
      </w:pPr>
    </w:p>
    <w:p>
      <w:pPr>
        <w:jc w:val="both"/>
        <w:rPr>
          <w:rFonts w:hint="eastAsia" w:ascii="宋体" w:hAnsi="宋体" w:eastAsia="宋体" w:cs="宋体"/>
          <w:color w:val="auto"/>
          <w:sz w:val="72"/>
          <w:highlight w:val="none"/>
        </w:rPr>
      </w:pPr>
    </w:p>
    <w:p>
      <w:pPr>
        <w:jc w:val="center"/>
        <w:rPr>
          <w:rFonts w:hint="eastAsia" w:ascii="宋体" w:hAnsi="宋体" w:eastAsia="宋体" w:cs="宋体"/>
          <w:color w:val="auto"/>
          <w:sz w:val="72"/>
          <w:szCs w:val="72"/>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color w:val="auto"/>
          <w:sz w:val="72"/>
          <w:szCs w:val="72"/>
          <w:highlight w:val="none"/>
        </w:rPr>
        <w:t>企业情况部分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1440" w:leftChars="720"/>
        <w:rPr>
          <w:rFonts w:hint="eastAsia" w:ascii="宋体" w:hAnsi="宋体" w:eastAsia="宋体" w:cs="宋体"/>
          <w:color w:val="auto"/>
          <w:sz w:val="30"/>
          <w:highlight w:val="none"/>
        </w:rPr>
      </w:pPr>
    </w:p>
    <w:p>
      <w:pPr>
        <w:snapToGrid w:val="0"/>
        <w:spacing w:line="480" w:lineRule="auto"/>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投  标  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（盖公章）</w:t>
      </w:r>
    </w:p>
    <w:p>
      <w:pPr>
        <w:snapToGrid w:val="0"/>
        <w:ind w:left="1440" w:leftChars="720"/>
        <w:rPr>
          <w:rFonts w:hint="eastAsia" w:ascii="宋体" w:hAnsi="宋体" w:eastAsia="宋体" w:cs="宋体"/>
          <w:color w:val="auto"/>
          <w:sz w:val="30"/>
          <w:highlight w:val="none"/>
        </w:rPr>
      </w:pPr>
    </w:p>
    <w:p>
      <w:pPr>
        <w:snapToGrid w:val="0"/>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法定代表人或其委托代理人：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（签</w:t>
      </w:r>
      <w:r>
        <w:rPr>
          <w:rFonts w:hint="eastAsia" w:ascii="宋体" w:hAnsi="宋体" w:cs="宋体"/>
          <w:color w:val="auto"/>
          <w:sz w:val="30"/>
          <w:highlight w:val="none"/>
          <w:u w:val="single"/>
          <w:lang w:eastAsia="zh-CN"/>
        </w:rPr>
        <w:t>章</w:t>
      </w:r>
      <w:r>
        <w:rPr>
          <w:rFonts w:hint="eastAsia" w:ascii="宋体" w:hAnsi="宋体" w:eastAsia="宋体" w:cs="宋体"/>
          <w:color w:val="auto"/>
          <w:sz w:val="30"/>
          <w:highlight w:val="none"/>
          <w:u w:val="single"/>
        </w:rPr>
        <w:t>）</w:t>
      </w:r>
    </w:p>
    <w:p>
      <w:pPr>
        <w:snapToGrid w:val="0"/>
        <w:spacing w:before="480" w:line="360" w:lineRule="auto"/>
        <w:rPr>
          <w:rFonts w:hint="eastAsia" w:ascii="宋体" w:hAnsi="宋体" w:eastAsia="宋体" w:cs="宋体"/>
          <w:color w:val="auto"/>
          <w:sz w:val="30"/>
          <w:highlight w:val="none"/>
        </w:rPr>
      </w:pPr>
    </w:p>
    <w:p>
      <w:pPr>
        <w:jc w:val="center"/>
        <w:rPr>
          <w:rFonts w:hint="eastAsia" w:ascii="宋体" w:hAnsi="宋体" w:eastAsia="宋体" w:cs="宋体"/>
          <w:color w:val="auto"/>
          <w:highlight w:val="none"/>
        </w:rPr>
      </w:pPr>
    </w:p>
    <w:p>
      <w:pPr>
        <w:pStyle w:val="25"/>
        <w:jc w:val="left"/>
        <w:rPr>
          <w:rFonts w:hint="eastAsia" w:ascii="宋体" w:hAnsi="宋体" w:eastAsia="宋体" w:cs="宋体"/>
          <w:b w:val="0"/>
          <w:color w:val="auto"/>
          <w:sz w:val="28"/>
          <w:szCs w:val="28"/>
          <w:highlight w:val="none"/>
        </w:rPr>
      </w:pPr>
    </w:p>
    <w:p>
      <w:pPr>
        <w:pStyle w:val="25"/>
        <w:rPr>
          <w:rStyle w:val="38"/>
          <w:rFonts w:hint="eastAsia" w:ascii="宋体" w:hAnsi="宋体" w:eastAsia="宋体" w:cs="宋体"/>
          <w:color w:val="auto"/>
          <w:highlight w:val="none"/>
          <w:u w:val="none"/>
        </w:rPr>
      </w:pPr>
      <w:r>
        <w:rPr>
          <w:rFonts w:hint="eastAsia" w:ascii="宋体" w:hAnsi="宋体" w:eastAsia="宋体" w:cs="宋体"/>
          <w:color w:val="auto"/>
          <w:highlight w:val="none"/>
        </w:rPr>
        <w:br w:type="page"/>
      </w:r>
      <w:r>
        <w:rPr>
          <w:rStyle w:val="38"/>
          <w:rFonts w:hint="eastAsia" w:ascii="宋体" w:hAnsi="宋体" w:eastAsia="宋体" w:cs="宋体"/>
          <w:color w:val="auto"/>
          <w:highlight w:val="none"/>
          <w:u w:val="none"/>
        </w:rPr>
        <w:t xml:space="preserve"> </w:t>
      </w:r>
    </w:p>
    <w:p>
      <w:pPr>
        <w:spacing w:line="48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 标 函</w:t>
      </w:r>
    </w:p>
    <w:p>
      <w:pPr>
        <w:spacing w:line="48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致:</w:t>
      </w:r>
      <w:r>
        <w:rPr>
          <w:rFonts w:hint="eastAsia" w:ascii="宋体" w:hAnsi="宋体" w:cs="宋体"/>
          <w:b/>
          <w:bCs/>
          <w:color w:val="auto"/>
          <w:sz w:val="28"/>
          <w:szCs w:val="28"/>
          <w:highlight w:val="none"/>
          <w:lang w:eastAsia="zh-CN"/>
        </w:rPr>
        <w:t>罗定市泷洲招标代理有限公司</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 xml:space="preserve">     我方确认收到贵方提供的</w:t>
      </w:r>
      <w:r>
        <w:rPr>
          <w:rFonts w:hint="eastAsia" w:ascii="宋体" w:hAnsi="宋体" w:eastAsia="宋体" w:cs="宋体"/>
          <w:color w:val="auto"/>
          <w:kern w:val="28"/>
          <w:sz w:val="21"/>
          <w:szCs w:val="21"/>
          <w:highlight w:val="none"/>
          <w:u w:val="single"/>
        </w:rPr>
        <w:t xml:space="preserve">       （项目名称）       </w:t>
      </w:r>
      <w:r>
        <w:rPr>
          <w:rFonts w:hint="eastAsia" w:ascii="宋体" w:hAnsi="宋体" w:eastAsia="宋体" w:cs="宋体"/>
          <w:color w:val="auto"/>
          <w:sz w:val="21"/>
          <w:szCs w:val="21"/>
          <w:highlight w:val="none"/>
        </w:rPr>
        <w:t>货物及服务的</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的全部内容，我方：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(投标人名称)作为投标者正式授权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(授权代表全名,职务)代表我方进行有关本投标的一切事宜。</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在此提交的投标文件,正本</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 副本</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eastAsia="zh-CN"/>
        </w:rPr>
        <w:t>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份，投标文件包括如下等内容:</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投标文件第一部分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投标报价表</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投标文件第二部分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投标函；</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授权书；</w:t>
      </w:r>
    </w:p>
    <w:p>
      <w:pPr>
        <w:pStyle w:val="16"/>
        <w:spacing w:line="4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（三）  资格证明文件；</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eastAsia="zh-CN"/>
        </w:rPr>
        <w:t>四</w:t>
      </w:r>
      <w:r>
        <w:rPr>
          <w:rFonts w:hint="eastAsia" w:ascii="宋体" w:hAnsi="宋体" w:eastAsia="宋体" w:cs="宋体"/>
          <w:color w:val="auto"/>
          <w:szCs w:val="21"/>
          <w:highlight w:val="none"/>
        </w:rPr>
        <w:t>）  投标响应表及差异表；</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eastAsia="zh-CN"/>
        </w:rPr>
        <w:t>五</w:t>
      </w:r>
      <w:r>
        <w:rPr>
          <w:rFonts w:hint="eastAsia" w:ascii="宋体" w:hAnsi="宋体" w:eastAsia="宋体" w:cs="宋体"/>
          <w:color w:val="auto"/>
          <w:szCs w:val="21"/>
          <w:highlight w:val="none"/>
        </w:rPr>
        <w:t>）  按</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投标人须知的要求提供的投标文件格式的其它有关文件。</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 投标文件第三部分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技术、商务响应文件及差异表。</w:t>
      </w:r>
    </w:p>
    <w:p>
      <w:pPr>
        <w:spacing w:line="48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的所有条款要求，并重申以下几点：</w:t>
      </w:r>
    </w:p>
    <w:p>
      <w:pPr>
        <w:spacing w:line="480" w:lineRule="exact"/>
        <w:ind w:left="600" w:hanging="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（一）我方决定参加：采购编号为</w:t>
      </w:r>
      <w:r>
        <w:rPr>
          <w:rFonts w:hint="eastAsia" w:ascii="宋体" w:hAnsi="宋体" w:cs="宋体"/>
          <w:color w:val="auto"/>
          <w:sz w:val="21"/>
          <w:szCs w:val="21"/>
          <w:highlight w:val="none"/>
          <w:u w:val="single"/>
          <w:lang w:eastAsia="zh-CN"/>
        </w:rPr>
        <w:t>SZZB21H04YQ068</w:t>
      </w:r>
      <w:r>
        <w:rPr>
          <w:rFonts w:hint="eastAsia" w:ascii="宋体" w:hAnsi="宋体" w:eastAsia="宋体" w:cs="宋体"/>
          <w:color w:val="auto"/>
          <w:sz w:val="21"/>
          <w:szCs w:val="21"/>
          <w:highlight w:val="none"/>
        </w:rPr>
        <w:t>的报价；</w:t>
      </w:r>
    </w:p>
    <w:p>
      <w:pPr>
        <w:spacing w:line="480" w:lineRule="exact"/>
        <w:ind w:left="471" w:hanging="4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（二）全部货物之供应和有关服务的报价总价（详见投标报价表）；</w:t>
      </w:r>
    </w:p>
    <w:p>
      <w:pPr>
        <w:spacing w:line="480" w:lineRule="exact"/>
        <w:ind w:left="600" w:hanging="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（三）本投标文件的有效期为投标日起的 </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0天</w:t>
      </w:r>
      <w:r>
        <w:rPr>
          <w:rFonts w:hint="eastAsia" w:ascii="宋体" w:hAnsi="宋体" w:eastAsia="宋体" w:cs="宋体"/>
          <w:color w:val="auto"/>
          <w:sz w:val="21"/>
          <w:szCs w:val="21"/>
          <w:highlight w:val="none"/>
        </w:rPr>
        <w:t>内有效，如成交，有效期将延至合同终止日为止；</w:t>
      </w:r>
    </w:p>
    <w:p>
      <w:pPr>
        <w:spacing w:line="480" w:lineRule="exact"/>
        <w:ind w:left="693" w:hanging="693" w:hangingChars="3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（四）我方已详细研究了</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的所有内容包括修改文件(如果有)和所有已提供的参考资料以及有关附件并完全明白, 我方放弃在此方面提出含糊意见或误解的一切权力。</w:t>
      </w:r>
    </w:p>
    <w:p>
      <w:pPr>
        <w:spacing w:line="480" w:lineRule="exact"/>
        <w:ind w:left="693" w:hanging="693" w:hangingChars="3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我方明白并愿意在规定的投标时间和日期之后,投标有效期之内撤回报价, 则报价保证金将被贵方没收。</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 我方同意按照贵方可能提出的要求而提供与报价有关的任何其它数据或信息。</w:t>
      </w:r>
    </w:p>
    <w:p>
      <w:pPr>
        <w:spacing w:line="480" w:lineRule="exact"/>
        <w:ind w:left="588" w:hanging="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 我方理解贵方不一定接受最低标价或任何贵方可能收到的报价。</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 我方如果成交，将保证履行</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修改文件（如果有的话）中的全部责任和义务，按质、按量、按期完成《采购单位需求书》及《合同书》中的全部任务。</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 如我方被授予合同，由我方就本次</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支付或将支付的服务费列于</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文件要求的承诺书（承诺书号</w:t>
      </w:r>
      <w:r>
        <w:rPr>
          <w:rFonts w:hint="eastAsia" w:ascii="宋体" w:hAnsi="宋体" w:cs="宋体"/>
          <w:color w:val="auto"/>
          <w:sz w:val="21"/>
          <w:szCs w:val="21"/>
          <w:highlight w:val="none"/>
          <w:lang w:val="en-US" w:eastAsia="zh-CN"/>
        </w:rPr>
        <w:t>ZB</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SZZB21H04YQ068</w:t>
      </w:r>
      <w:r>
        <w:rPr>
          <w:rFonts w:hint="eastAsia" w:ascii="宋体" w:hAnsi="宋体" w:eastAsia="宋体" w:cs="宋体"/>
          <w:color w:val="auto"/>
          <w:sz w:val="21"/>
          <w:szCs w:val="21"/>
          <w:highlight w:val="none"/>
        </w:rPr>
        <w:t>）中。</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 所有与本</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有关的函件请发往下列地址:</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代表姓名：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exact"/>
        <w:ind w:left="4380" w:leftChars="219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pPr>
        <w:spacing w:line="360" w:lineRule="auto"/>
        <w:ind w:left="4380" w:leftChars="2190"/>
        <w:rPr>
          <w:rFonts w:hint="eastAsia" w:ascii="宋体" w:hAnsi="宋体" w:eastAsia="宋体" w:cs="宋体"/>
          <w:color w:val="auto"/>
          <w:sz w:val="21"/>
          <w:szCs w:val="21"/>
          <w:highlight w:val="non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p>
    <w:p>
      <w:pPr>
        <w:spacing w:line="360" w:lineRule="auto"/>
        <w:ind w:left="4380" w:leftChars="2190"/>
        <w:rPr>
          <w:rFonts w:hint="eastAsia" w:ascii="宋体" w:hAnsi="宋体" w:eastAsia="宋体" w:cs="宋体"/>
          <w:color w:val="auto"/>
          <w:sz w:val="21"/>
          <w:szCs w:val="21"/>
          <w:highlight w:val="non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w:t>
      </w:r>
      <w:r>
        <w:rPr>
          <w:rFonts w:hint="eastAsia" w:ascii="宋体" w:hAnsi="宋体" w:cs="宋体"/>
          <w:color w:val="auto"/>
          <w:sz w:val="21"/>
          <w:szCs w:val="21"/>
          <w:highlight w:val="none"/>
          <w:lang w:eastAsia="zh-CN"/>
        </w:rPr>
        <w:t>签章</w:t>
      </w:r>
      <w:r>
        <w:rPr>
          <w:rFonts w:hint="eastAsia" w:ascii="宋体" w:hAnsi="宋体" w:eastAsia="宋体" w:cs="宋体"/>
          <w:color w:val="auto"/>
          <w:sz w:val="21"/>
          <w:szCs w:val="21"/>
          <w:highlight w:val="none"/>
        </w:rPr>
        <w:t>）：</w:t>
      </w:r>
    </w:p>
    <w:p>
      <w:pPr>
        <w:spacing w:line="360" w:lineRule="auto"/>
        <w:ind w:left="4380" w:leftChars="2190"/>
        <w:rPr>
          <w:rFonts w:hint="eastAsia" w:ascii="宋体" w:hAnsi="宋体" w:eastAsia="宋体" w:cs="宋体"/>
          <w:color w:val="auto"/>
          <w:sz w:val="21"/>
          <w:szCs w:val="21"/>
          <w:highlight w:val="none"/>
        </w:rPr>
      </w:pPr>
    </w:p>
    <w:p>
      <w:pPr>
        <w:spacing w:line="400" w:lineRule="exact"/>
        <w:ind w:right="420"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3"/>
        <w:spacing w:line="480" w:lineRule="exact"/>
        <w:rPr>
          <w:rFonts w:hint="eastAsia" w:ascii="宋体" w:hAnsi="宋体" w:eastAsia="宋体" w:cs="宋体"/>
          <w:color w:val="auto"/>
          <w:sz w:val="32"/>
          <w:szCs w:val="32"/>
          <w:highlight w:val="none"/>
        </w:rPr>
      </w:pPr>
      <w:r>
        <w:rPr>
          <w:rFonts w:hint="eastAsia" w:ascii="宋体" w:hAnsi="宋体" w:eastAsia="宋体" w:cs="宋体"/>
          <w:b/>
          <w:color w:val="auto"/>
          <w:sz w:val="24"/>
          <w:highlight w:val="none"/>
        </w:rPr>
        <w:br w:type="page"/>
      </w:r>
    </w:p>
    <w:p>
      <w:pPr>
        <w:spacing w:line="480" w:lineRule="exact"/>
        <w:rPr>
          <w:rFonts w:hint="eastAsia" w:ascii="宋体" w:hAnsi="宋体" w:eastAsia="宋体" w:cs="宋体"/>
          <w:b/>
          <w:color w:val="auto"/>
          <w:sz w:val="24"/>
          <w:highlight w:val="none"/>
        </w:rPr>
      </w:pPr>
    </w:p>
    <w:p>
      <w:pPr>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成交服务费承诺书</w:t>
      </w:r>
    </w:p>
    <w:p>
      <w:pPr>
        <w:spacing w:line="480" w:lineRule="exact"/>
        <w:rPr>
          <w:rFonts w:hint="eastAsia" w:ascii="宋体" w:hAnsi="宋体" w:eastAsia="宋体" w:cs="宋体"/>
          <w:color w:val="auto"/>
          <w:sz w:val="24"/>
          <w:highlight w:val="none"/>
        </w:rPr>
      </w:pPr>
    </w:p>
    <w:p>
      <w:pPr>
        <w:spacing w:line="480" w:lineRule="exact"/>
        <w:ind w:left="735" w:hanging="735" w:hangingChars="350"/>
        <w:jc w:val="righ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承诺书号：</w:t>
      </w:r>
      <w:r>
        <w:rPr>
          <w:rFonts w:hint="eastAsia" w:ascii="宋体" w:hAnsi="宋体" w:cs="宋体"/>
          <w:color w:val="auto"/>
          <w:sz w:val="21"/>
          <w:szCs w:val="21"/>
          <w:highlight w:val="none"/>
          <w:lang w:val="en-US" w:eastAsia="zh-CN"/>
        </w:rPr>
        <w:t>ZB</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SZZB21H04YQ068</w:t>
      </w:r>
    </w:p>
    <w:p>
      <w:pPr>
        <w:spacing w:line="480" w:lineRule="exact"/>
        <w:rPr>
          <w:rFonts w:hint="eastAsia" w:ascii="宋体" w:hAnsi="宋体" w:eastAsia="宋体" w:cs="宋体"/>
          <w:b/>
          <w:color w:val="auto"/>
          <w:sz w:val="24"/>
          <w:highlight w:val="none"/>
          <w:lang w:eastAsia="zh-CN"/>
        </w:rPr>
      </w:pPr>
      <w:r>
        <w:rPr>
          <w:rFonts w:hint="eastAsia" w:ascii="宋体" w:hAnsi="宋体" w:eastAsia="宋体" w:cs="宋体"/>
          <w:color w:val="auto"/>
          <w:sz w:val="21"/>
          <w:szCs w:val="21"/>
          <w:highlight w:val="none"/>
        </w:rPr>
        <w:t>致：</w:t>
      </w:r>
      <w:r>
        <w:rPr>
          <w:rFonts w:hint="eastAsia" w:ascii="宋体" w:hAnsi="宋体" w:cs="宋体"/>
          <w:b/>
          <w:color w:val="auto"/>
          <w:sz w:val="21"/>
          <w:szCs w:val="21"/>
          <w:highlight w:val="none"/>
          <w:lang w:eastAsia="zh-CN"/>
        </w:rPr>
        <w:t>罗定市泷洲招标代理有限公司</w:t>
      </w:r>
    </w:p>
    <w:p>
      <w:pPr>
        <w:spacing w:line="480" w:lineRule="exact"/>
        <w:ind w:firstLine="480" w:firstLineChars="200"/>
        <w:rPr>
          <w:rFonts w:hint="eastAsia" w:ascii="宋体" w:hAnsi="宋体" w:eastAsia="宋体" w:cs="宋体"/>
          <w:color w:val="auto"/>
          <w:sz w:val="24"/>
          <w:highlight w:val="none"/>
        </w:rPr>
      </w:pP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如果我方在贵公司组织的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的货物及相关</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中获成交（采购编号</w:t>
      </w:r>
      <w:r>
        <w:rPr>
          <w:rFonts w:hint="eastAsia" w:ascii="宋体" w:hAnsi="宋体" w:cs="宋体"/>
          <w:color w:val="auto"/>
          <w:sz w:val="21"/>
          <w:szCs w:val="21"/>
          <w:highlight w:val="none"/>
          <w:lang w:eastAsia="zh-CN"/>
        </w:rPr>
        <w:t>SZZB21H04YQ068</w:t>
      </w:r>
      <w:r>
        <w:rPr>
          <w:rFonts w:hint="eastAsia" w:ascii="宋体" w:hAnsi="宋体" w:eastAsia="宋体" w:cs="宋体"/>
          <w:color w:val="auto"/>
          <w:sz w:val="21"/>
          <w:szCs w:val="21"/>
          <w:highlight w:val="none"/>
        </w:rPr>
        <w:t>），我方保证在收到《成交通知书》后，按</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规定“投标人须知”向贵公司交纳成交服务费。</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我方如违约，愿凭贵公司开出的违约通知，按上述承诺金额的200％在我方提交的报价保证金（保函）及买方给我方的成交合同规定的货款中扣付，并在此同意和要求报价保函开立银行及买方（应</w:t>
      </w:r>
      <w:r>
        <w:rPr>
          <w:rFonts w:hint="eastAsia" w:ascii="宋体" w:hAnsi="宋体" w:cs="宋体"/>
          <w:color w:val="auto"/>
          <w:sz w:val="21"/>
          <w:szCs w:val="21"/>
          <w:highlight w:val="none"/>
          <w:lang w:eastAsia="zh-CN"/>
        </w:rPr>
        <w:t>罗定市泷洲招标代理有限公司</w:t>
      </w:r>
      <w:r>
        <w:rPr>
          <w:rFonts w:hint="eastAsia" w:ascii="宋体" w:hAnsi="宋体" w:eastAsia="宋体" w:cs="宋体"/>
          <w:color w:val="auto"/>
          <w:sz w:val="21"/>
          <w:szCs w:val="21"/>
          <w:highlight w:val="none"/>
        </w:rPr>
        <w:t>的要求）办理支付手续。</w:t>
      </w:r>
    </w:p>
    <w:p>
      <w:pPr>
        <w:spacing w:line="480" w:lineRule="exact"/>
        <w:ind w:left="735" w:firstLine="420" w:firstLineChars="200"/>
        <w:rPr>
          <w:rFonts w:hint="eastAsia" w:ascii="宋体" w:hAnsi="宋体" w:eastAsia="宋体" w:cs="宋体"/>
          <w:color w:val="auto"/>
          <w:sz w:val="21"/>
          <w:szCs w:val="21"/>
          <w:highlight w:val="none"/>
        </w:rPr>
      </w:pP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投标人法定名称（公章）；</w:t>
      </w: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投标人法定地址：</w:t>
      </w:r>
    </w:p>
    <w:p>
      <w:pPr>
        <w:spacing w:line="480" w:lineRule="exact"/>
        <w:ind w:left="735" w:hanging="735" w:hangingChars="350"/>
        <w:jc w:val="center"/>
        <w:rPr>
          <w:rFonts w:hint="eastAsia" w:ascii="宋体" w:hAnsi="宋体" w:eastAsia="宋体" w:cs="宋体"/>
          <w:color w:val="auto"/>
          <w:sz w:val="21"/>
          <w:szCs w:val="21"/>
          <w:highlight w:val="none"/>
        </w:rPr>
      </w:pP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投标人授权代表（签</w:t>
      </w:r>
      <w:r>
        <w:rPr>
          <w:rFonts w:hint="eastAsia" w:ascii="宋体" w:hAnsi="宋体" w:cs="宋体"/>
          <w:color w:val="auto"/>
          <w:sz w:val="21"/>
          <w:szCs w:val="21"/>
          <w:highlight w:val="none"/>
          <w:lang w:eastAsia="zh-CN"/>
        </w:rPr>
        <w:t>章</w:t>
      </w:r>
      <w:r>
        <w:rPr>
          <w:rFonts w:hint="eastAsia" w:ascii="宋体" w:hAnsi="宋体" w:eastAsia="宋体" w:cs="宋体"/>
          <w:color w:val="auto"/>
          <w:sz w:val="21"/>
          <w:szCs w:val="21"/>
          <w:highlight w:val="none"/>
        </w:rPr>
        <w:t>）：</w:t>
      </w:r>
    </w:p>
    <w:p>
      <w:pPr>
        <w:spacing w:line="480" w:lineRule="exact"/>
        <w:ind w:left="735" w:hanging="735" w:hangingChars="350"/>
        <w:jc w:val="center"/>
        <w:rPr>
          <w:rFonts w:hint="eastAsia" w:ascii="宋体" w:hAnsi="宋体" w:eastAsia="宋体" w:cs="宋体"/>
          <w:color w:val="auto"/>
          <w:sz w:val="21"/>
          <w:szCs w:val="21"/>
          <w:highlight w:val="none"/>
        </w:rPr>
      </w:pP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p>
    <w:p>
      <w:pPr>
        <w:spacing w:line="480" w:lineRule="exact"/>
        <w:ind w:left="735" w:hanging="735" w:hangingChars="350"/>
        <w:jc w:val="center"/>
        <w:rPr>
          <w:rFonts w:hint="eastAsia" w:ascii="宋体" w:hAnsi="宋体" w:eastAsia="宋体" w:cs="宋体"/>
          <w:color w:val="auto"/>
          <w:sz w:val="21"/>
          <w:szCs w:val="21"/>
          <w:highlight w:val="none"/>
        </w:rPr>
      </w:pP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p>
    <w:p>
      <w:pPr>
        <w:spacing w:line="480" w:lineRule="exact"/>
        <w:ind w:left="735" w:hanging="735" w:hangingChars="350"/>
        <w:jc w:val="center"/>
        <w:rPr>
          <w:rFonts w:hint="eastAsia" w:ascii="宋体" w:hAnsi="宋体" w:eastAsia="宋体" w:cs="宋体"/>
          <w:color w:val="auto"/>
          <w:sz w:val="21"/>
          <w:szCs w:val="21"/>
          <w:highlight w:val="none"/>
        </w:rPr>
      </w:pPr>
    </w:p>
    <w:p>
      <w:pPr>
        <w:spacing w:line="480" w:lineRule="exact"/>
        <w:ind w:left="735" w:hanging="735" w:hangingChars="3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承诺日期：</w:t>
      </w:r>
    </w:p>
    <w:p>
      <w:pPr>
        <w:pStyle w:val="16"/>
        <w:spacing w:before="240" w:after="240" w:line="360" w:lineRule="auto"/>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2"/>
          <w:highlight w:val="none"/>
        </w:rPr>
        <w:t>法定代表人证明书</w:t>
      </w: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cs="宋体"/>
          <w:b/>
          <w:color w:val="auto"/>
          <w:sz w:val="21"/>
          <w:szCs w:val="21"/>
          <w:highlight w:val="none"/>
          <w:lang w:eastAsia="zh-CN"/>
        </w:rPr>
        <w:t>罗定市泷洲招标代理有限公司</w:t>
      </w:r>
    </w:p>
    <w:p>
      <w:pPr>
        <w:spacing w:line="360" w:lineRule="auto"/>
        <w:rPr>
          <w:rFonts w:hint="eastAsia" w:ascii="宋体" w:hAnsi="宋体" w:eastAsia="宋体" w:cs="宋体"/>
          <w:b/>
          <w:color w:val="auto"/>
          <w:szCs w:val="21"/>
          <w:highlight w:val="none"/>
        </w:rPr>
      </w:pP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职务，为法定人，特此证明。</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单位名称</w:t>
      </w:r>
      <w:r>
        <w:rPr>
          <w:rFonts w:hint="eastAsia" w:ascii="宋体" w:hAnsi="宋体" w:eastAsia="宋体" w:cs="宋体"/>
          <w:color w:val="auto"/>
          <w:sz w:val="21"/>
          <w:szCs w:val="21"/>
          <w:highlight w:val="none"/>
          <w:u w:val="single"/>
        </w:rPr>
        <w:t xml:space="preserve">：                            </w:t>
      </w:r>
    </w:p>
    <w:p>
      <w:pPr>
        <w:spacing w:line="480" w:lineRule="exact"/>
        <w:jc w:val="both"/>
        <w:rPr>
          <w:rFonts w:hint="eastAsia" w:ascii="宋体" w:hAnsi="宋体" w:eastAsia="宋体" w:cs="宋体"/>
          <w:color w:val="auto"/>
          <w:sz w:val="21"/>
          <w:szCs w:val="21"/>
          <w:highlight w:val="none"/>
        </w:rPr>
      </w:pP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年龄：</w:t>
      </w:r>
      <w:r>
        <w:rPr>
          <w:rFonts w:hint="eastAsia" w:ascii="宋体" w:hAnsi="宋体" w:eastAsia="宋体" w:cs="宋体"/>
          <w:color w:val="auto"/>
          <w:sz w:val="21"/>
          <w:szCs w:val="21"/>
          <w:highlight w:val="none"/>
          <w:u w:val="none"/>
        </w:rPr>
        <w:t>____________</w:t>
      </w:r>
      <w:r>
        <w:rPr>
          <w:rFonts w:hint="eastAsia" w:ascii="宋体" w:hAnsi="宋体" w:eastAsia="宋体" w:cs="宋体"/>
          <w:color w:val="auto"/>
          <w:sz w:val="21"/>
          <w:szCs w:val="21"/>
          <w:highlight w:val="none"/>
        </w:rPr>
        <w:t xml:space="preserve">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none"/>
        </w:rPr>
        <w:t>______________________________</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none"/>
        </w:rPr>
        <w:t xml:space="preserve"> _______________________________ </w:t>
      </w:r>
    </w:p>
    <w:p>
      <w:pPr>
        <w:spacing w:line="480" w:lineRule="exact"/>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营业执照号码：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经济性质：</w:t>
      </w:r>
      <w:r>
        <w:rPr>
          <w:rFonts w:hint="eastAsia" w:ascii="宋体" w:hAnsi="宋体" w:eastAsia="宋体" w:cs="宋体"/>
          <w:color w:val="auto"/>
          <w:sz w:val="21"/>
          <w:szCs w:val="21"/>
          <w:highlight w:val="none"/>
          <w:u w:val="single"/>
        </w:rPr>
        <w:t xml:space="preserve">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主营（产）_________________________________________________________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_________________________________________________________________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兼营（产）：_______________________________________________________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进口物品经营许可证号码：___________________________________________                                 </w:t>
      </w:r>
    </w:p>
    <w:p>
      <w:pPr>
        <w:spacing w:line="480" w:lineRule="exact"/>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主营： ____________________________________________________________                                                  </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xml:space="preserve">兼营：_____________________________________________________________                       </w:t>
      </w:r>
      <w:r>
        <w:rPr>
          <w:rFonts w:hint="eastAsia" w:ascii="宋体" w:hAnsi="宋体" w:eastAsia="宋体" w:cs="宋体"/>
          <w:color w:val="auto"/>
          <w:sz w:val="21"/>
          <w:szCs w:val="21"/>
          <w:highlight w:val="none"/>
          <w:u w:val="single"/>
        </w:rPr>
        <w:t xml:space="preserve">                            </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说明：1.法定代表人为企业事业单位、国家机关、社会团体的主要行政负责人。</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2.内容必须填写真实、清楚、涂改无效，不得转让、买卖。</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3.将此证明提交对方作为合同附件。</w:t>
      </w:r>
    </w:p>
    <w:p>
      <w:pPr>
        <w:spacing w:line="480" w:lineRule="exact"/>
        <w:jc w:val="both"/>
        <w:rPr>
          <w:rFonts w:hint="eastAsia" w:ascii="宋体" w:hAnsi="宋体" w:eastAsia="宋体" w:cs="宋体"/>
          <w:color w:val="auto"/>
          <w:sz w:val="21"/>
          <w:szCs w:val="21"/>
          <w:highlight w:val="none"/>
        </w:rPr>
      </w:pPr>
    </w:p>
    <w:p>
      <w:pPr>
        <w:spacing w:line="480" w:lineRule="exact"/>
        <w:jc w:val="both"/>
        <w:rPr>
          <w:rFonts w:hint="eastAsia" w:ascii="宋体" w:hAnsi="宋体" w:eastAsia="宋体" w:cs="宋体"/>
          <w:color w:val="auto"/>
          <w:sz w:val="21"/>
          <w:szCs w:val="21"/>
          <w:highlight w:val="none"/>
        </w:rPr>
      </w:pPr>
    </w:p>
    <w:p>
      <w:pPr>
        <w:spacing w:line="480" w:lineRule="exact"/>
        <w:jc w:val="both"/>
        <w:rPr>
          <w:rFonts w:hint="eastAsia" w:ascii="宋体" w:hAnsi="宋体" w:eastAsia="宋体" w:cs="宋体"/>
          <w:color w:val="auto"/>
          <w:sz w:val="21"/>
          <w:szCs w:val="21"/>
          <w:highlight w:val="none"/>
        </w:rPr>
      </w:pP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投标人（公章）：</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p>
    <w:p>
      <w:pPr>
        <w:spacing w:line="480" w:lineRule="exact"/>
        <w:jc w:val="both"/>
        <w:rPr>
          <w:rFonts w:hint="eastAsia" w:ascii="宋体" w:hAnsi="宋体" w:eastAsia="宋体" w:cs="宋体"/>
          <w:color w:val="auto"/>
          <w:sz w:val="21"/>
          <w:szCs w:val="21"/>
          <w:highlight w:val="none"/>
        </w:rPr>
      </w:pPr>
    </w:p>
    <w:p>
      <w:pPr>
        <w:pStyle w:val="4"/>
        <w:spacing w:before="100" w:after="100" w:line="360" w:lineRule="auto"/>
        <w:jc w:val="both"/>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pStyle w:val="25"/>
        <w:ind w:left="0"/>
        <w:jc w:val="both"/>
        <w:rPr>
          <w:rStyle w:val="38"/>
          <w:rFonts w:hint="eastAsia" w:ascii="宋体" w:hAnsi="宋体" w:eastAsia="宋体" w:cs="宋体"/>
          <w:b w:val="0"/>
          <w:color w:val="auto"/>
          <w:highlight w:val="none"/>
        </w:rPr>
      </w:pPr>
    </w:p>
    <w:p>
      <w:pPr>
        <w:pStyle w:val="16"/>
        <w:spacing w:line="48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法定代表人授权书</w:t>
      </w:r>
    </w:p>
    <w:p>
      <w:pPr>
        <w:pStyle w:val="16"/>
        <w:spacing w:line="480" w:lineRule="exact"/>
        <w:rPr>
          <w:rFonts w:hint="eastAsia" w:ascii="宋体" w:hAnsi="宋体" w:eastAsia="宋体" w:cs="宋体"/>
          <w:color w:val="auto"/>
          <w:highlight w:val="none"/>
        </w:rPr>
      </w:pPr>
    </w:p>
    <w:p>
      <w:pPr>
        <w:pStyle w:val="16"/>
        <w:spacing w:line="480" w:lineRule="exac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sz w:val="24"/>
          <w:highlight w:val="none"/>
        </w:rPr>
        <w:t>:</w:t>
      </w:r>
      <w:r>
        <w:rPr>
          <w:rFonts w:hint="eastAsia" w:hAnsi="宋体" w:cs="宋体"/>
          <w:b/>
          <w:color w:val="auto"/>
          <w:szCs w:val="21"/>
          <w:highlight w:val="none"/>
          <w:lang w:eastAsia="zh-CN"/>
        </w:rPr>
        <w:t>罗定市泷洲招标代理有限公司</w:t>
      </w:r>
    </w:p>
    <w:p>
      <w:pPr>
        <w:pStyle w:val="16"/>
        <w:spacing w:line="480" w:lineRule="exact"/>
        <w:rPr>
          <w:rFonts w:hint="eastAsia" w:ascii="宋体" w:hAnsi="宋体" w:eastAsia="宋体" w:cs="宋体"/>
          <w:b/>
          <w:color w:val="auto"/>
          <w:sz w:val="24"/>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本授权书声明：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是注册于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（国家或地区）的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hAnsi="宋体" w:cs="宋体"/>
          <w:color w:val="auto"/>
          <w:szCs w:val="21"/>
          <w:highlight w:val="none"/>
          <w:lang w:eastAsia="zh-CN"/>
        </w:rPr>
        <w:t>邀标</w:t>
      </w:r>
      <w:r>
        <w:rPr>
          <w:rFonts w:hint="eastAsia" w:ascii="宋体" w:hAnsi="宋体" w:eastAsia="宋体" w:cs="宋体"/>
          <w:color w:val="auto"/>
          <w:szCs w:val="21"/>
          <w:highlight w:val="none"/>
        </w:rPr>
        <w:t>[</w:t>
      </w:r>
      <w:r>
        <w:rPr>
          <w:rFonts w:hint="eastAsia" w:hAnsi="宋体" w:cs="宋体"/>
          <w:color w:val="auto"/>
          <w:szCs w:val="21"/>
          <w:highlight w:val="none"/>
          <w:lang w:eastAsia="zh-CN"/>
        </w:rPr>
        <w:t>邀标</w:t>
      </w:r>
      <w:r>
        <w:rPr>
          <w:rFonts w:hint="eastAsia" w:ascii="宋体" w:hAnsi="宋体" w:eastAsia="宋体" w:cs="宋体"/>
          <w:color w:val="auto"/>
          <w:szCs w:val="21"/>
          <w:highlight w:val="none"/>
        </w:rPr>
        <w:t>编号为：</w:t>
      </w:r>
      <w:r>
        <w:rPr>
          <w:rFonts w:hint="eastAsia" w:hAnsi="宋体" w:cs="宋体"/>
          <w:color w:val="auto"/>
          <w:szCs w:val="21"/>
          <w:highlight w:val="none"/>
          <w:lang w:eastAsia="zh-CN"/>
        </w:rPr>
        <w:t>SZZB21H04YQ068</w:t>
      </w:r>
      <w:r>
        <w:rPr>
          <w:rFonts w:hint="eastAsia" w:ascii="宋体" w:hAnsi="宋体" w:eastAsia="宋体" w:cs="宋体"/>
          <w:color w:val="auto"/>
          <w:szCs w:val="21"/>
          <w:highlight w:val="none"/>
        </w:rPr>
        <w:t>]的投标和合同执行过程中，现授权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（姓名、职务）作为我公司的全权代理人，以我方的名义处理一切与之有关的事宜。</w:t>
      </w: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日签字生效，特此声明。</w:t>
      </w: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投标人（公章）：</w:t>
      </w: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        址：</w:t>
      </w: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法定代表人（签</w:t>
      </w:r>
      <w:r>
        <w:rPr>
          <w:rFonts w:hint="eastAsia" w:hAnsi="宋体" w:cs="宋体"/>
          <w:color w:val="auto"/>
          <w:szCs w:val="21"/>
          <w:highlight w:val="none"/>
          <w:lang w:eastAsia="zh-CN"/>
        </w:rPr>
        <w:t>章</w:t>
      </w:r>
      <w:r>
        <w:rPr>
          <w:rFonts w:hint="eastAsia" w:ascii="宋体" w:hAnsi="宋体" w:eastAsia="宋体" w:cs="宋体"/>
          <w:color w:val="auto"/>
          <w:szCs w:val="21"/>
          <w:highlight w:val="none"/>
        </w:rPr>
        <w:t>）：</w:t>
      </w:r>
    </w:p>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职        务：</w:t>
      </w:r>
    </w:p>
    <w:p>
      <w:pPr>
        <w:spacing w:line="480" w:lineRule="exact"/>
        <w:rPr>
          <w:rFonts w:hint="eastAsia" w:ascii="宋体" w:hAnsi="宋体" w:eastAsia="宋体" w:cs="宋体"/>
          <w:color w:val="auto"/>
          <w:spacing w:val="20"/>
          <w:highlight w:val="none"/>
        </w:rPr>
      </w:pPr>
    </w:p>
    <w:p>
      <w:pPr>
        <w:tabs>
          <w:tab w:val="left" w:pos="2280"/>
        </w:tabs>
        <w:spacing w:line="360" w:lineRule="auto"/>
        <w:ind w:firstLine="4625" w:firstLineChars="1850"/>
        <w:rPr>
          <w:rFonts w:hint="eastAsia" w:ascii="宋体" w:hAnsi="宋体" w:eastAsia="宋体" w:cs="宋体"/>
          <w:color w:val="auto"/>
          <w:spacing w:val="20"/>
          <w:sz w:val="21"/>
          <w:szCs w:val="21"/>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ind w:firstLine="4440" w:firstLineChars="1850"/>
        <w:rPr>
          <w:rFonts w:hint="eastAsia" w:ascii="宋体" w:hAnsi="宋体" w:eastAsia="宋体" w:cs="宋体"/>
          <w:color w:val="auto"/>
          <w:spacing w:val="20"/>
          <w:highlight w:val="none"/>
        </w:rPr>
      </w:pPr>
    </w:p>
    <w:p>
      <w:pPr>
        <w:tabs>
          <w:tab w:val="left" w:pos="2280"/>
        </w:tabs>
        <w:spacing w:line="360" w:lineRule="auto"/>
        <w:jc w:val="both"/>
        <w:rPr>
          <w:rFonts w:hint="eastAsia" w:ascii="宋体" w:hAnsi="宋体" w:eastAsia="宋体" w:cs="宋体"/>
          <w:b/>
          <w:color w:val="auto"/>
          <w:sz w:val="24"/>
          <w:highlight w:val="none"/>
        </w:rPr>
      </w:pPr>
      <w:bookmarkStart w:id="20" w:name="_Toc353956033"/>
      <w:bookmarkStart w:id="21" w:name="_Toc247085887"/>
      <w:bookmarkStart w:id="22" w:name="_Toc246997112"/>
      <w:bookmarkStart w:id="23" w:name="_Toc246996369"/>
    </w:p>
    <w:bookmarkEnd w:id="20"/>
    <w:bookmarkEnd w:id="21"/>
    <w:bookmarkEnd w:id="22"/>
    <w:bookmarkEnd w:id="23"/>
    <w:p>
      <w:pPr>
        <w:pStyle w:val="5"/>
        <w:tabs>
          <w:tab w:val="clear" w:pos="720"/>
        </w:tabs>
        <w:spacing w:line="276" w:lineRule="auto"/>
        <w:ind w:left="0" w:leftChars="0" w:firstLine="0" w:firstLineChars="0"/>
        <w:rPr>
          <w:rFonts w:hint="eastAsia" w:ascii="宋体" w:hAnsi="宋体" w:eastAsia="宋体" w:cs="宋体"/>
          <w:color w:val="auto"/>
          <w:sz w:val="24"/>
          <w:szCs w:val="24"/>
          <w:highlight w:val="none"/>
        </w:rPr>
      </w:pPr>
    </w:p>
    <w:p>
      <w:pPr>
        <w:pStyle w:val="5"/>
        <w:tabs>
          <w:tab w:val="clear" w:pos="720"/>
        </w:tabs>
        <w:spacing w:line="276"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投标响应性表</w:t>
      </w:r>
    </w:p>
    <w:tbl>
      <w:tblPr>
        <w:tblStyle w:val="31"/>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78"/>
        <w:gridCol w:w="215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278"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 内 容</w:t>
            </w:r>
          </w:p>
        </w:tc>
        <w:tc>
          <w:tcPr>
            <w:tcW w:w="215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投标人应答</w:t>
            </w:r>
          </w:p>
        </w:tc>
        <w:tc>
          <w:tcPr>
            <w:tcW w:w="122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78" w:type="dxa"/>
            <w:vAlign w:val="center"/>
          </w:tcPr>
          <w:p>
            <w:pPr>
              <w:pStyle w:val="1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要求承诺投标有效期</w:t>
            </w:r>
          </w:p>
        </w:tc>
        <w:tc>
          <w:tcPr>
            <w:tcW w:w="2154" w:type="dxa"/>
            <w:vAlign w:val="center"/>
          </w:tcPr>
          <w:p>
            <w:pPr>
              <w:spacing w:line="360" w:lineRule="auto"/>
              <w:rPr>
                <w:rFonts w:hint="eastAsia" w:ascii="宋体" w:hAnsi="宋体" w:eastAsia="宋体" w:cs="宋体"/>
                <w:color w:val="auto"/>
                <w:szCs w:val="21"/>
                <w:highlight w:val="none"/>
              </w:rPr>
            </w:pPr>
          </w:p>
        </w:tc>
        <w:tc>
          <w:tcPr>
            <w:tcW w:w="1227"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78" w:type="dxa"/>
            <w:vAlign w:val="center"/>
          </w:tcPr>
          <w:p>
            <w:pPr>
              <w:pStyle w:val="1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要求的合同条款内容</w:t>
            </w:r>
          </w:p>
        </w:tc>
        <w:tc>
          <w:tcPr>
            <w:tcW w:w="2154" w:type="dxa"/>
            <w:vAlign w:val="center"/>
          </w:tcPr>
          <w:p>
            <w:pPr>
              <w:spacing w:line="360" w:lineRule="auto"/>
              <w:rPr>
                <w:rFonts w:hint="eastAsia" w:ascii="宋体" w:hAnsi="宋体" w:eastAsia="宋体" w:cs="宋体"/>
                <w:color w:val="auto"/>
                <w:szCs w:val="21"/>
                <w:highlight w:val="none"/>
              </w:rPr>
            </w:pPr>
          </w:p>
        </w:tc>
        <w:tc>
          <w:tcPr>
            <w:tcW w:w="1227"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278" w:type="dxa"/>
            <w:vAlign w:val="center"/>
          </w:tcPr>
          <w:p>
            <w:pPr>
              <w:pStyle w:val="1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的质量要求</w:t>
            </w:r>
          </w:p>
        </w:tc>
        <w:tc>
          <w:tcPr>
            <w:tcW w:w="2154"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227"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278" w:type="dxa"/>
            <w:vAlign w:val="center"/>
          </w:tcPr>
          <w:p>
            <w:pPr>
              <w:pStyle w:val="1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要求的供货期</w:t>
            </w:r>
          </w:p>
        </w:tc>
        <w:tc>
          <w:tcPr>
            <w:tcW w:w="2154" w:type="dxa"/>
            <w:vAlign w:val="center"/>
          </w:tcPr>
          <w:p>
            <w:pPr>
              <w:spacing w:line="360" w:lineRule="auto"/>
              <w:rPr>
                <w:rFonts w:hint="eastAsia" w:ascii="宋体" w:hAnsi="宋体" w:eastAsia="宋体" w:cs="宋体"/>
                <w:color w:val="auto"/>
                <w:szCs w:val="21"/>
                <w:highlight w:val="none"/>
              </w:rPr>
            </w:pPr>
          </w:p>
        </w:tc>
        <w:tc>
          <w:tcPr>
            <w:tcW w:w="1227"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278" w:type="dxa"/>
            <w:vAlign w:val="center"/>
          </w:tcPr>
          <w:p>
            <w:pPr>
              <w:pStyle w:val="1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的其他要求</w:t>
            </w:r>
          </w:p>
        </w:tc>
        <w:tc>
          <w:tcPr>
            <w:tcW w:w="2154"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227" w:type="dxa"/>
            <w:vAlign w:val="center"/>
          </w:tcPr>
          <w:p>
            <w:pPr>
              <w:spacing w:line="360" w:lineRule="auto"/>
              <w:rPr>
                <w:rFonts w:hint="eastAsia" w:ascii="宋体" w:hAnsi="宋体" w:eastAsia="宋体" w:cs="宋体"/>
                <w:color w:val="auto"/>
                <w:szCs w:val="21"/>
                <w:highlight w:val="none"/>
              </w:rPr>
            </w:pPr>
          </w:p>
        </w:tc>
      </w:tr>
    </w:tbl>
    <w:p>
      <w:pPr>
        <w:adjustRightInd w:val="0"/>
        <w:snapToGrid w:val="0"/>
        <w:spacing w:line="300" w:lineRule="auto"/>
        <w:rPr>
          <w:rFonts w:ascii="宋体" w:hAnsi="宋体"/>
          <w:color w:val="auto"/>
          <w:szCs w:val="21"/>
          <w:highlight w:val="none"/>
        </w:rPr>
      </w:pPr>
    </w:p>
    <w:p>
      <w:pPr>
        <w:pStyle w:val="2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adjustRightInd w:val="0"/>
        <w:snapToGrid w:val="0"/>
        <w:spacing w:line="30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一般</w:t>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DOCVARIABLE  商务条款响应表开始  \* MERGEFORMAT </w:instrText>
      </w:r>
      <w:r>
        <w:rPr>
          <w:rFonts w:hint="eastAsia" w:ascii="宋体" w:hAnsi="宋体"/>
          <w:b/>
          <w:color w:val="auto"/>
          <w:sz w:val="24"/>
          <w:szCs w:val="24"/>
          <w:highlight w:val="none"/>
        </w:rPr>
        <w:fldChar w:fldCharType="separate"/>
      </w:r>
      <w:r>
        <w:rPr>
          <w:rFonts w:hint="eastAsia" w:ascii="宋体" w:hAnsi="宋体"/>
          <w:b/>
          <w:color w:val="auto"/>
          <w:sz w:val="24"/>
          <w:szCs w:val="24"/>
          <w:highlight w:val="none"/>
        </w:rPr>
        <w:fldChar w:fldCharType="end"/>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DOCVARIABLE  商务条款响应表开始  \* MERGEFORMAT </w:instrText>
      </w:r>
      <w:r>
        <w:rPr>
          <w:rFonts w:hint="eastAsia" w:ascii="宋体" w:hAnsi="宋体"/>
          <w:b/>
          <w:color w:val="auto"/>
          <w:sz w:val="24"/>
          <w:szCs w:val="24"/>
          <w:highlight w:val="none"/>
        </w:rPr>
        <w:fldChar w:fldCharType="separate"/>
      </w:r>
      <w:r>
        <w:rPr>
          <w:rFonts w:hint="eastAsia" w:ascii="宋体" w:hAnsi="宋体"/>
          <w:b/>
          <w:color w:val="auto"/>
          <w:sz w:val="24"/>
          <w:szCs w:val="24"/>
          <w:highlight w:val="none"/>
        </w:rPr>
        <w:fldChar w:fldCharType="end"/>
      </w:r>
      <w:r>
        <w:rPr>
          <w:rFonts w:hint="eastAsia" w:ascii="宋体" w:hAnsi="宋体"/>
          <w:b/>
          <w:color w:val="auto"/>
          <w:sz w:val="24"/>
          <w:szCs w:val="24"/>
          <w:highlight w:val="none"/>
        </w:rPr>
        <w:t>商务条款响应表</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5854"/>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57" w:type="dxa"/>
            <w:shd w:val="clear" w:color="auto" w:fill="F3F3F3"/>
            <w:vAlign w:val="center"/>
          </w:tcPr>
          <w:p>
            <w:pPr>
              <w:rPr>
                <w:rFonts w:hint="eastAsia" w:ascii="宋体" w:hAnsi="宋体"/>
                <w:color w:val="auto"/>
                <w:highlight w:val="none"/>
              </w:rPr>
            </w:pPr>
            <w:r>
              <w:rPr>
                <w:rFonts w:hint="eastAsia" w:ascii="宋体" w:hAnsi="宋体"/>
                <w:color w:val="auto"/>
                <w:highlight w:val="none"/>
              </w:rPr>
              <w:t>序号</w:t>
            </w:r>
          </w:p>
        </w:tc>
        <w:tc>
          <w:tcPr>
            <w:tcW w:w="5854" w:type="dxa"/>
            <w:shd w:val="clear" w:color="auto" w:fill="F3F3F3"/>
            <w:vAlign w:val="center"/>
          </w:tcPr>
          <w:p>
            <w:pPr>
              <w:rPr>
                <w:rFonts w:hint="eastAsia" w:ascii="宋体" w:hAnsi="宋体"/>
                <w:color w:val="auto"/>
                <w:highlight w:val="none"/>
              </w:rPr>
            </w:pPr>
            <w:r>
              <w:rPr>
                <w:rFonts w:hint="eastAsia" w:ascii="宋体" w:hAnsi="宋体"/>
                <w:color w:val="auto"/>
                <w:highlight w:val="none"/>
              </w:rPr>
              <w:t>一般商务条款要求</w:t>
            </w:r>
          </w:p>
        </w:tc>
        <w:tc>
          <w:tcPr>
            <w:tcW w:w="758" w:type="dxa"/>
            <w:shd w:val="clear" w:color="auto" w:fill="F3F3F3"/>
            <w:vAlign w:val="center"/>
          </w:tcPr>
          <w:p>
            <w:pPr>
              <w:rPr>
                <w:rFonts w:hint="eastAsia" w:ascii="宋体" w:hAnsi="宋体"/>
                <w:color w:val="auto"/>
                <w:highlight w:val="none"/>
              </w:rPr>
            </w:pPr>
            <w:r>
              <w:rPr>
                <w:rFonts w:hint="eastAsia" w:ascii="宋体" w:hAnsi="宋体"/>
                <w:color w:val="auto"/>
                <w:highlight w:val="none"/>
              </w:rPr>
              <w:t>是否响应</w:t>
            </w:r>
          </w:p>
        </w:tc>
        <w:tc>
          <w:tcPr>
            <w:tcW w:w="2017" w:type="dxa"/>
            <w:shd w:val="clear" w:color="auto" w:fill="F3F3F3"/>
            <w:vAlign w:val="center"/>
          </w:tcPr>
          <w:p>
            <w:pPr>
              <w:rPr>
                <w:rFonts w:hint="eastAsia" w:ascii="宋体" w:hAnsi="宋体"/>
                <w:color w:val="auto"/>
                <w:highlight w:val="none"/>
              </w:rPr>
            </w:pPr>
            <w:r>
              <w:rPr>
                <w:rFonts w:hint="eastAsia" w:ascii="宋体" w:hAnsi="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7" w:type="dxa"/>
            <w:vAlign w:val="center"/>
          </w:tcPr>
          <w:p>
            <w:pPr>
              <w:jc w:val="center"/>
              <w:rPr>
                <w:rFonts w:hint="eastAsia" w:ascii="宋体" w:hAnsi="宋体"/>
                <w:color w:val="auto"/>
                <w:highlight w:val="none"/>
              </w:rPr>
            </w:pPr>
            <w:r>
              <w:rPr>
                <w:rFonts w:hint="eastAsia" w:ascii="宋体" w:hAnsi="宋体"/>
                <w:color w:val="auto"/>
                <w:highlight w:val="none"/>
              </w:rPr>
              <w:t>1</w:t>
            </w:r>
          </w:p>
        </w:tc>
        <w:tc>
          <w:tcPr>
            <w:tcW w:w="5854" w:type="dxa"/>
            <w:vAlign w:val="center"/>
          </w:tcPr>
          <w:p>
            <w:pPr>
              <w:rPr>
                <w:rFonts w:hint="eastAsia" w:ascii="宋体" w:hAnsi="宋体"/>
                <w:color w:val="auto"/>
                <w:highlight w:val="none"/>
              </w:rPr>
            </w:pPr>
            <w:r>
              <w:rPr>
                <w:rFonts w:hint="eastAsia" w:ascii="宋体" w:hAnsi="宋体"/>
                <w:color w:val="auto"/>
                <w:highlight w:val="none"/>
              </w:rPr>
              <w:t>完全理解并接受合同条款要求</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7" w:type="dxa"/>
            <w:vAlign w:val="center"/>
          </w:tcPr>
          <w:p>
            <w:pPr>
              <w:jc w:val="center"/>
              <w:rPr>
                <w:rFonts w:hint="eastAsia" w:ascii="宋体" w:hAnsi="宋体"/>
                <w:color w:val="auto"/>
                <w:highlight w:val="none"/>
              </w:rPr>
            </w:pPr>
            <w:r>
              <w:rPr>
                <w:rFonts w:hint="eastAsia" w:ascii="宋体" w:hAnsi="宋体"/>
                <w:color w:val="auto"/>
                <w:highlight w:val="none"/>
              </w:rPr>
              <w:t>2</w:t>
            </w:r>
          </w:p>
        </w:tc>
        <w:tc>
          <w:tcPr>
            <w:tcW w:w="5854" w:type="dxa"/>
            <w:vAlign w:val="center"/>
          </w:tcPr>
          <w:p>
            <w:pPr>
              <w:rPr>
                <w:rFonts w:hint="eastAsia" w:ascii="宋体" w:hAnsi="宋体"/>
                <w:color w:val="auto"/>
                <w:highlight w:val="none"/>
              </w:rPr>
            </w:pPr>
            <w:r>
              <w:rPr>
                <w:rFonts w:hint="eastAsia" w:ascii="宋体" w:hAnsi="宋体"/>
                <w:color w:val="auto"/>
                <w:highlight w:val="none"/>
              </w:rPr>
              <w:t>完全理解并接受对合格报价人/响应供应商、合格的货物、工程和服务要求</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7" w:type="dxa"/>
            <w:vAlign w:val="center"/>
          </w:tcPr>
          <w:p>
            <w:pPr>
              <w:jc w:val="center"/>
              <w:rPr>
                <w:rFonts w:hint="eastAsia" w:ascii="宋体" w:hAnsi="宋体"/>
                <w:color w:val="auto"/>
                <w:highlight w:val="none"/>
              </w:rPr>
            </w:pPr>
            <w:r>
              <w:rPr>
                <w:rFonts w:hint="eastAsia" w:ascii="宋体" w:hAnsi="宋体"/>
                <w:color w:val="auto"/>
                <w:highlight w:val="none"/>
              </w:rPr>
              <w:t>3</w:t>
            </w:r>
          </w:p>
        </w:tc>
        <w:tc>
          <w:tcPr>
            <w:tcW w:w="5854" w:type="dxa"/>
            <w:vAlign w:val="center"/>
          </w:tcPr>
          <w:p>
            <w:pPr>
              <w:rPr>
                <w:rFonts w:hint="eastAsia" w:ascii="宋体" w:hAnsi="宋体"/>
                <w:color w:val="auto"/>
                <w:highlight w:val="none"/>
              </w:rPr>
            </w:pPr>
            <w:r>
              <w:rPr>
                <w:rFonts w:hint="eastAsia" w:ascii="宋体" w:hAnsi="宋体"/>
                <w:color w:val="auto"/>
                <w:highlight w:val="none"/>
              </w:rPr>
              <w:t>完全理解并接受对报价人/响应供应商的各项须知、规约要求和责任义务</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57"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5854" w:type="dxa"/>
            <w:vAlign w:val="center"/>
          </w:tcPr>
          <w:p>
            <w:pPr>
              <w:rPr>
                <w:rFonts w:hint="eastAsia" w:ascii="宋体" w:hAnsi="宋体"/>
                <w:color w:val="auto"/>
                <w:highlight w:val="none"/>
              </w:rPr>
            </w:pPr>
            <w:r>
              <w:rPr>
                <w:rFonts w:hint="eastAsia" w:ascii="宋体" w:hAnsi="宋体"/>
                <w:color w:val="auto"/>
                <w:highlight w:val="none"/>
              </w:rPr>
              <w:t xml:space="preserve">投标/谈判有效期：投标/谈判有效期为自递交投标/响应文件起至确定正式中标/成交人止不少于 </w:t>
            </w:r>
            <w:r>
              <w:rPr>
                <w:rFonts w:hint="eastAsia" w:ascii="宋体" w:hAnsi="宋体"/>
                <w:color w:val="auto"/>
                <w:highlight w:val="none"/>
                <w:lang w:val="en-US" w:eastAsia="zh-CN"/>
              </w:rPr>
              <w:t>90</w:t>
            </w:r>
            <w:r>
              <w:rPr>
                <w:rFonts w:hint="eastAsia" w:ascii="宋体" w:hAnsi="宋体"/>
                <w:color w:val="auto"/>
                <w:highlight w:val="none"/>
              </w:rPr>
              <w:t xml:space="preserve">   天，中标/中标单位有效期至项目验收之日</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7"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5854" w:type="dxa"/>
            <w:vAlign w:val="center"/>
          </w:tcPr>
          <w:p>
            <w:pPr>
              <w:rPr>
                <w:rFonts w:hint="eastAsia" w:ascii="宋体" w:hAnsi="宋体"/>
                <w:color w:val="auto"/>
                <w:highlight w:val="none"/>
              </w:rPr>
            </w:pPr>
            <w:r>
              <w:rPr>
                <w:rFonts w:hint="eastAsia" w:ascii="宋体" w:hAnsi="宋体"/>
                <w:color w:val="auto"/>
                <w:highlight w:val="none"/>
              </w:rPr>
              <w:t>报价内容均涵盖报价要求之一切费用和伴随服务</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6</w:t>
            </w:r>
          </w:p>
        </w:tc>
        <w:tc>
          <w:tcPr>
            <w:tcW w:w="5854" w:type="dxa"/>
            <w:vAlign w:val="center"/>
          </w:tcPr>
          <w:p>
            <w:pPr>
              <w:rPr>
                <w:rFonts w:hint="eastAsia" w:ascii="宋体" w:hAnsi="宋体"/>
                <w:color w:val="auto"/>
                <w:highlight w:val="none"/>
              </w:rPr>
            </w:pPr>
            <w:r>
              <w:rPr>
                <w:rFonts w:hint="eastAsia" w:ascii="宋体" w:hAnsi="宋体" w:eastAsia="宋体" w:cs="Times New Roman"/>
                <w:kern w:val="0"/>
                <w:szCs w:val="22"/>
              </w:rPr>
              <w:t>交货</w:t>
            </w:r>
            <w:r>
              <w:rPr>
                <w:rFonts w:hint="eastAsia" w:ascii="宋体" w:hAnsi="宋体" w:cs="Times New Roman"/>
                <w:kern w:val="0"/>
                <w:szCs w:val="22"/>
                <w:lang w:eastAsia="zh-CN"/>
              </w:rPr>
              <w:t>时间：在合同签订生效起</w:t>
            </w:r>
            <w:r>
              <w:rPr>
                <w:rFonts w:hint="eastAsia" w:ascii="宋体" w:hAnsi="宋体" w:cs="Times New Roman"/>
                <w:kern w:val="0"/>
                <w:szCs w:val="22"/>
                <w:lang w:val="en-US" w:eastAsia="zh-CN"/>
              </w:rPr>
              <w:t>5</w:t>
            </w:r>
            <w:r>
              <w:rPr>
                <w:rFonts w:hint="eastAsia" w:ascii="宋体" w:hAnsi="宋体" w:cs="Times New Roman"/>
                <w:kern w:val="0"/>
                <w:szCs w:val="22"/>
                <w:lang w:eastAsia="zh-CN"/>
              </w:rPr>
              <w:t>0天内完成交货安装及调试，并提交项目验收报告。</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7" w:type="dxa"/>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7</w:t>
            </w:r>
          </w:p>
        </w:tc>
        <w:tc>
          <w:tcPr>
            <w:tcW w:w="5854" w:type="dxa"/>
            <w:vAlign w:val="center"/>
          </w:tcPr>
          <w:p>
            <w:pPr>
              <w:rPr>
                <w:rFonts w:hint="eastAsia" w:ascii="宋体" w:hAnsi="宋体" w:eastAsia="宋体"/>
                <w:color w:val="auto"/>
                <w:highlight w:val="none"/>
                <w:lang w:eastAsia="zh-CN"/>
              </w:rPr>
            </w:pPr>
            <w:r>
              <w:rPr>
                <w:rFonts w:hint="eastAsia" w:ascii="宋体" w:hAnsi="宋体"/>
                <w:color w:val="auto"/>
                <w:highlight w:val="none"/>
                <w:lang w:eastAsia="zh-CN"/>
              </w:rPr>
              <w:t>质保期：设备按厂家保修政策保修，设备提供不少一年免费上门保修，且供货商须承诺所有设备免费上门维修。</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7"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5854" w:type="dxa"/>
            <w:vAlign w:val="center"/>
          </w:tcPr>
          <w:p>
            <w:pPr>
              <w:rPr>
                <w:rFonts w:hint="eastAsia" w:ascii="宋体" w:hAnsi="宋体"/>
                <w:color w:val="auto"/>
                <w:highlight w:val="none"/>
              </w:rPr>
            </w:pPr>
            <w:r>
              <w:rPr>
                <w:rFonts w:hint="eastAsia" w:ascii="宋体" w:hAnsi="宋体"/>
                <w:color w:val="auto"/>
                <w:highlight w:val="none"/>
              </w:rPr>
              <w:t>同意接受合同范本所列述的各项条款</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57"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9</w:t>
            </w:r>
          </w:p>
        </w:tc>
        <w:tc>
          <w:tcPr>
            <w:tcW w:w="5854" w:type="dxa"/>
            <w:vAlign w:val="center"/>
          </w:tcPr>
          <w:p>
            <w:pPr>
              <w:rPr>
                <w:rFonts w:hint="eastAsia" w:ascii="宋体" w:hAnsi="宋体"/>
                <w:color w:val="auto"/>
                <w:highlight w:val="none"/>
              </w:rPr>
            </w:pPr>
            <w:r>
              <w:rPr>
                <w:rFonts w:hint="eastAsia" w:ascii="宋体" w:hAnsi="宋体"/>
                <w:color w:val="auto"/>
                <w:highlight w:val="none"/>
              </w:rPr>
              <w:t>同意按本项目要求缴付相关款项</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7"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5854" w:type="dxa"/>
            <w:vAlign w:val="center"/>
          </w:tcPr>
          <w:p>
            <w:pPr>
              <w:rPr>
                <w:rFonts w:hint="eastAsia" w:ascii="宋体" w:hAnsi="宋体"/>
                <w:color w:val="auto"/>
                <w:highlight w:val="none"/>
              </w:rPr>
            </w:pPr>
            <w:r>
              <w:rPr>
                <w:rFonts w:hint="eastAsia" w:ascii="宋体" w:hAnsi="宋体"/>
                <w:color w:val="auto"/>
                <w:highlight w:val="none"/>
              </w:rPr>
              <w:t>同意采购方以任何形式对我方投标/响应文件内容的真实性和有效性进行审查、验证</w:t>
            </w:r>
          </w:p>
        </w:tc>
        <w:tc>
          <w:tcPr>
            <w:tcW w:w="758" w:type="dxa"/>
            <w:vAlign w:val="center"/>
          </w:tcPr>
          <w:p>
            <w:pPr>
              <w:rPr>
                <w:rFonts w:hint="eastAsia" w:ascii="宋体" w:hAnsi="宋体"/>
                <w:color w:val="auto"/>
                <w:highlight w:val="none"/>
              </w:rPr>
            </w:pPr>
          </w:p>
        </w:tc>
        <w:tc>
          <w:tcPr>
            <w:tcW w:w="2017" w:type="dxa"/>
            <w:vAlign w:val="center"/>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7"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11</w:t>
            </w:r>
          </w:p>
        </w:tc>
        <w:tc>
          <w:tcPr>
            <w:tcW w:w="8629" w:type="dxa"/>
            <w:gridSpan w:val="3"/>
            <w:vAlign w:val="center"/>
          </w:tcPr>
          <w:p>
            <w:pPr>
              <w:rPr>
                <w:rFonts w:hint="eastAsia" w:ascii="宋体" w:hAnsi="宋体"/>
                <w:color w:val="auto"/>
                <w:highlight w:val="none"/>
              </w:rPr>
            </w:pPr>
            <w:r>
              <w:rPr>
                <w:rFonts w:hint="eastAsia" w:ascii="宋体" w:hAnsi="宋体"/>
                <w:color w:val="auto"/>
                <w:highlight w:val="none"/>
              </w:rPr>
              <w:t>其它商务条款偏离说明：</w:t>
            </w:r>
          </w:p>
        </w:tc>
      </w:tr>
    </w:tbl>
    <w:p>
      <w:pPr>
        <w:rPr>
          <w:rFonts w:hint="eastAsia" w:ascii="宋体" w:hAnsi="宋体"/>
          <w:color w:val="auto"/>
          <w:highlight w:val="none"/>
        </w:rPr>
      </w:pPr>
      <w:r>
        <w:rPr>
          <w:rFonts w:hint="eastAsia" w:ascii="宋体" w:hAnsi="宋体"/>
          <w:color w:val="auto"/>
          <w:highlight w:val="none"/>
        </w:rPr>
        <w:t>注： 1.对于上述要求，如报价人/响应供应商完全响应，则请在“是否响应”栏内打“√”，对空白或打“×”视为偏离，请在“偏离说明”栏内扼要说明偏离情况。</w:t>
      </w:r>
    </w:p>
    <w:p>
      <w:pPr>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本表内容不得擅自修改。</w:t>
      </w:r>
    </w:p>
    <w:p>
      <w:pPr>
        <w:numPr>
          <w:ilvl w:val="0"/>
          <w:numId w:val="0"/>
        </w:numPr>
        <w:ind w:leftChars="-150"/>
        <w:rPr>
          <w:rFonts w:hint="eastAsia" w:ascii="宋体" w:hAnsi="宋体"/>
          <w:color w:val="auto"/>
          <w:highlight w:val="none"/>
        </w:rPr>
      </w:pPr>
    </w:p>
    <w:p>
      <w:pPr>
        <w:rPr>
          <w:rFonts w:hint="eastAsia" w:ascii="宋体" w:hAnsi="宋体"/>
          <w:color w:val="auto"/>
          <w:highlight w:val="none"/>
        </w:rPr>
      </w:pPr>
      <w:r>
        <w:rPr>
          <w:rFonts w:hint="eastAsia" w:ascii="宋体" w:hAnsi="宋体"/>
          <w:color w:val="auto"/>
          <w:highlight w:val="none"/>
        </w:rPr>
        <w:t xml:space="preserve">报价人/响应供应商法定代表人（或法定代表人授权代表）签字：                   </w:t>
      </w:r>
    </w:p>
    <w:p>
      <w:pPr>
        <w:rPr>
          <w:rFonts w:hint="eastAsia" w:ascii="宋体" w:hAnsi="宋体"/>
          <w:color w:val="auto"/>
          <w:highlight w:val="none"/>
        </w:rPr>
      </w:pPr>
      <w:r>
        <w:rPr>
          <w:rFonts w:hint="eastAsia" w:ascii="宋体" w:hAnsi="宋体"/>
          <w:color w:val="auto"/>
          <w:highlight w:val="none"/>
        </w:rPr>
        <w:t xml:space="preserve">报价人/响应供应商名称（签章）：                      </w:t>
      </w:r>
    </w:p>
    <w:p>
      <w:pPr>
        <w:adjustRightInd w:val="0"/>
        <w:snapToGrid w:val="0"/>
        <w:spacing w:line="300" w:lineRule="auto"/>
        <w:rPr>
          <w:rFonts w:ascii="宋体" w:hAnsi="宋体"/>
          <w:color w:val="auto"/>
          <w:sz w:val="32"/>
          <w:szCs w:val="32"/>
          <w:highlight w:val="none"/>
        </w:rPr>
      </w:pP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期：      年      月     日</w:t>
      </w:r>
    </w:p>
    <w:p>
      <w:pPr>
        <w:rPr>
          <w:rFonts w:hint="eastAsia" w:ascii="宋体" w:hAnsi="宋体" w:eastAsia="宋体" w:cs="宋体"/>
          <w:color w:val="auto"/>
          <w:szCs w:val="21"/>
          <w:highlight w:val="none"/>
        </w:rPr>
        <w:sectPr>
          <w:footerReference r:id="rId8" w:type="first"/>
          <w:footerReference r:id="rId7" w:type="default"/>
          <w:pgSz w:w="11906" w:h="16838"/>
          <w:pgMar w:top="1134" w:right="1134" w:bottom="1304" w:left="1418" w:header="709" w:footer="737" w:gutter="0"/>
          <w:pgNumType w:start="1"/>
          <w:cols w:space="720" w:num="1"/>
          <w:titlePg/>
          <w:docGrid w:type="lines" w:linePitch="312" w:charSpace="0"/>
        </w:sectPr>
      </w:pPr>
    </w:p>
    <w:p>
      <w:pPr>
        <w:pStyle w:val="5"/>
        <w:tabs>
          <w:tab w:val="clear" w:pos="720"/>
        </w:tabs>
        <w:spacing w:line="276"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一般技术条款响应表</w:t>
      </w:r>
    </w:p>
    <w:tbl>
      <w:tblPr>
        <w:tblStyle w:val="3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755"/>
        <w:gridCol w:w="3960"/>
        <w:gridCol w:w="186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pPr>
              <w:spacing w:line="480" w:lineRule="exact"/>
              <w:rPr>
                <w:rFonts w:hint="eastAsia" w:ascii="宋体" w:hAnsi="宋体"/>
                <w:color w:val="auto"/>
                <w:highlight w:val="none"/>
              </w:rPr>
            </w:pPr>
            <w:r>
              <w:rPr>
                <w:rFonts w:hint="eastAsia" w:ascii="宋体" w:hAnsi="宋体"/>
                <w:color w:val="auto"/>
                <w:highlight w:val="none"/>
              </w:rPr>
              <w:t>序号</w:t>
            </w:r>
          </w:p>
        </w:tc>
        <w:tc>
          <w:tcPr>
            <w:tcW w:w="1755" w:type="dxa"/>
            <w:vAlign w:val="center"/>
          </w:tcPr>
          <w:p>
            <w:pPr>
              <w:spacing w:line="480" w:lineRule="exact"/>
              <w:rPr>
                <w:rFonts w:hint="eastAsia" w:ascii="宋体" w:hAnsi="宋体"/>
                <w:color w:val="auto"/>
                <w:highlight w:val="none"/>
              </w:rPr>
            </w:pPr>
            <w:r>
              <w:rPr>
                <w:rFonts w:hint="eastAsia" w:ascii="宋体" w:hAnsi="宋体"/>
                <w:color w:val="auto"/>
                <w:highlight w:val="none"/>
                <w:lang w:eastAsia="zh-CN"/>
              </w:rPr>
              <w:t>邀标</w:t>
            </w:r>
            <w:r>
              <w:rPr>
                <w:rFonts w:hint="eastAsia" w:ascii="宋体" w:hAnsi="宋体"/>
                <w:color w:val="auto"/>
                <w:highlight w:val="none"/>
              </w:rPr>
              <w:t>/谈判规格/要求</w:t>
            </w:r>
          </w:p>
        </w:tc>
        <w:tc>
          <w:tcPr>
            <w:tcW w:w="3960" w:type="dxa"/>
            <w:vAlign w:val="center"/>
          </w:tcPr>
          <w:p>
            <w:pPr>
              <w:spacing w:line="480" w:lineRule="exact"/>
              <w:rPr>
                <w:rFonts w:hint="eastAsia" w:ascii="宋体" w:hAnsi="宋体"/>
                <w:color w:val="auto"/>
                <w:highlight w:val="none"/>
              </w:rPr>
            </w:pPr>
            <w:r>
              <w:rPr>
                <w:rFonts w:hint="eastAsia" w:ascii="宋体" w:hAnsi="宋体"/>
                <w:color w:val="auto"/>
                <w:highlight w:val="none"/>
              </w:rPr>
              <w:t>投标/响应实际参数</w:t>
            </w:r>
          </w:p>
          <w:p>
            <w:pPr>
              <w:spacing w:line="480" w:lineRule="exact"/>
              <w:rPr>
                <w:rFonts w:hint="eastAsia" w:ascii="宋体" w:hAnsi="宋体"/>
                <w:color w:val="auto"/>
                <w:highlight w:val="none"/>
              </w:rPr>
            </w:pPr>
            <w:r>
              <w:rPr>
                <w:rFonts w:hint="eastAsia" w:ascii="宋体" w:hAnsi="宋体"/>
                <w:color w:val="auto"/>
                <w:highlight w:val="none"/>
              </w:rPr>
              <w:t>(报价人/响应供应商应按投标/响应货物/服务实际数据填写，不能照抄</w:t>
            </w:r>
            <w:r>
              <w:rPr>
                <w:rFonts w:hint="eastAsia" w:ascii="宋体" w:hAnsi="宋体"/>
                <w:color w:val="auto"/>
                <w:highlight w:val="none"/>
                <w:lang w:eastAsia="zh-CN"/>
              </w:rPr>
              <w:t>邀标</w:t>
            </w:r>
            <w:r>
              <w:rPr>
                <w:rFonts w:hint="eastAsia" w:ascii="宋体" w:hAnsi="宋体"/>
                <w:color w:val="auto"/>
                <w:highlight w:val="none"/>
              </w:rPr>
              <w:t>/谈判要求)</w:t>
            </w:r>
          </w:p>
        </w:tc>
        <w:tc>
          <w:tcPr>
            <w:tcW w:w="1860" w:type="dxa"/>
            <w:vAlign w:val="center"/>
          </w:tcPr>
          <w:p>
            <w:pPr>
              <w:spacing w:line="480" w:lineRule="exact"/>
              <w:rPr>
                <w:rFonts w:hint="eastAsia" w:ascii="宋体" w:hAnsi="宋体"/>
                <w:color w:val="auto"/>
                <w:highlight w:val="none"/>
              </w:rPr>
            </w:pPr>
            <w:r>
              <w:rPr>
                <w:rFonts w:hint="eastAsia" w:ascii="宋体" w:hAnsi="宋体"/>
                <w:color w:val="auto"/>
                <w:highlight w:val="none"/>
              </w:rPr>
              <w:t>是否偏离（无偏离/正偏离/负偏离）</w:t>
            </w:r>
          </w:p>
        </w:tc>
        <w:tc>
          <w:tcPr>
            <w:tcW w:w="1110" w:type="dxa"/>
            <w:vAlign w:val="center"/>
          </w:tcPr>
          <w:p>
            <w:pPr>
              <w:spacing w:line="480" w:lineRule="exact"/>
              <w:rPr>
                <w:rFonts w:hint="eastAsia" w:ascii="宋体" w:hAnsi="宋体"/>
                <w:color w:val="auto"/>
                <w:highlight w:val="none"/>
              </w:rPr>
            </w:pPr>
            <w:r>
              <w:rPr>
                <w:rFonts w:hint="eastAsia" w:ascii="宋体" w:hAnsi="宋体"/>
                <w:color w:val="auto"/>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1</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2</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3</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4</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5</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6</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7</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8</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top"/>
          </w:tcPr>
          <w:p>
            <w:pPr>
              <w:spacing w:line="480" w:lineRule="exact"/>
              <w:rPr>
                <w:rFonts w:hint="eastAsia" w:ascii="宋体" w:hAnsi="宋体"/>
                <w:color w:val="auto"/>
                <w:highlight w:val="none"/>
              </w:rPr>
            </w:pPr>
            <w:r>
              <w:rPr>
                <w:rFonts w:hint="eastAsia" w:ascii="宋体" w:hAnsi="宋体"/>
                <w:color w:val="auto"/>
                <w:highlight w:val="none"/>
              </w:rPr>
              <w:t>…</w:t>
            </w:r>
          </w:p>
        </w:tc>
        <w:tc>
          <w:tcPr>
            <w:tcW w:w="1755" w:type="dxa"/>
            <w:vAlign w:val="top"/>
          </w:tcPr>
          <w:p>
            <w:pPr>
              <w:spacing w:line="480" w:lineRule="exact"/>
              <w:rPr>
                <w:rFonts w:hint="eastAsia" w:ascii="宋体" w:hAnsi="宋体"/>
                <w:color w:val="auto"/>
                <w:highlight w:val="none"/>
              </w:rPr>
            </w:pPr>
          </w:p>
        </w:tc>
        <w:tc>
          <w:tcPr>
            <w:tcW w:w="3960" w:type="dxa"/>
            <w:vAlign w:val="top"/>
          </w:tcPr>
          <w:p>
            <w:pPr>
              <w:spacing w:line="480" w:lineRule="exact"/>
              <w:rPr>
                <w:rFonts w:hint="eastAsia" w:ascii="宋体" w:hAnsi="宋体"/>
                <w:color w:val="auto"/>
                <w:highlight w:val="none"/>
              </w:rPr>
            </w:pPr>
          </w:p>
        </w:tc>
        <w:tc>
          <w:tcPr>
            <w:tcW w:w="1860" w:type="dxa"/>
            <w:vAlign w:val="top"/>
          </w:tcPr>
          <w:p>
            <w:pPr>
              <w:spacing w:line="480" w:lineRule="exact"/>
              <w:rPr>
                <w:rFonts w:hint="eastAsia" w:ascii="宋体" w:hAnsi="宋体"/>
                <w:color w:val="auto"/>
                <w:highlight w:val="none"/>
              </w:rPr>
            </w:pPr>
          </w:p>
        </w:tc>
        <w:tc>
          <w:tcPr>
            <w:tcW w:w="1110" w:type="dxa"/>
            <w:vAlign w:val="top"/>
          </w:tcPr>
          <w:p>
            <w:pPr>
              <w:spacing w:line="480" w:lineRule="exact"/>
              <w:rPr>
                <w:rFonts w:hint="eastAsia" w:ascii="宋体" w:hAnsi="宋体"/>
                <w:color w:val="auto"/>
                <w:highlight w:val="none"/>
              </w:rPr>
            </w:pPr>
          </w:p>
        </w:tc>
      </w:tr>
    </w:tbl>
    <w:p>
      <w:pPr>
        <w:spacing w:line="480" w:lineRule="exact"/>
        <w:rPr>
          <w:rFonts w:hint="eastAsia" w:ascii="宋体" w:hAnsi="宋体"/>
          <w:color w:val="auto"/>
          <w:highlight w:val="none"/>
        </w:rPr>
      </w:pPr>
    </w:p>
    <w:p>
      <w:pPr>
        <w:spacing w:line="480" w:lineRule="exact"/>
        <w:rPr>
          <w:rFonts w:hint="eastAsia" w:ascii="宋体" w:hAnsi="宋体"/>
          <w:color w:val="auto"/>
          <w:highlight w:val="none"/>
        </w:rPr>
      </w:pPr>
      <w:r>
        <w:rPr>
          <w:rFonts w:hint="eastAsia" w:ascii="宋体" w:hAnsi="宋体"/>
          <w:color w:val="auto"/>
          <w:highlight w:val="none"/>
        </w:rPr>
        <w:t>注：</w:t>
      </w:r>
    </w:p>
    <w:p>
      <w:pPr>
        <w:keepNext w:val="0"/>
        <w:keepLines w:val="0"/>
        <w:pageBreakBefore w:val="0"/>
        <w:widowControl/>
        <w:kinsoku/>
        <w:wordWrap/>
        <w:overflowPunct/>
        <w:topLinePunct w:val="0"/>
        <w:autoSpaceDE/>
        <w:autoSpaceDN/>
        <w:bidi w:val="0"/>
        <w:adjustRightInd/>
        <w:snapToGrid/>
        <w:spacing w:line="480" w:lineRule="exact"/>
        <w:ind w:left="300" w:leftChars="0" w:right="0" w:rightChars="0" w:hanging="300" w:hangingChars="150"/>
        <w:jc w:val="left"/>
        <w:textAlignment w:val="auto"/>
        <w:outlineLvl w:val="9"/>
        <w:rPr>
          <w:rFonts w:hint="eastAsia" w:ascii="宋体" w:hAnsi="宋体"/>
          <w:color w:val="auto"/>
          <w:highlight w:val="none"/>
        </w:rPr>
      </w:pPr>
      <w:r>
        <w:rPr>
          <w:rFonts w:hint="eastAsia" w:ascii="宋体" w:hAnsi="宋体"/>
          <w:color w:val="auto"/>
          <w:highlight w:val="none"/>
        </w:rPr>
        <w:t>1.报价人/响应供应商必须对应</w:t>
      </w:r>
      <w:r>
        <w:rPr>
          <w:rFonts w:hint="eastAsia" w:ascii="宋体" w:hAnsi="宋体"/>
          <w:color w:val="auto"/>
          <w:highlight w:val="none"/>
          <w:lang w:eastAsia="zh-CN"/>
        </w:rPr>
        <w:t>邀标</w:t>
      </w:r>
      <w:r>
        <w:rPr>
          <w:rFonts w:hint="eastAsia" w:ascii="宋体" w:hAnsi="宋体"/>
          <w:color w:val="auto"/>
          <w:highlight w:val="none"/>
        </w:rPr>
        <w:t>/询价文件“采购项目技术规格、参数及要求”的内容逐条响应。如有缺漏，缺漏项视同不符合</w:t>
      </w:r>
      <w:r>
        <w:rPr>
          <w:rFonts w:hint="eastAsia" w:ascii="宋体" w:hAnsi="宋体"/>
          <w:color w:val="auto"/>
          <w:highlight w:val="none"/>
          <w:lang w:eastAsia="zh-CN"/>
        </w:rPr>
        <w:t>邀标</w:t>
      </w:r>
      <w:r>
        <w:rPr>
          <w:rFonts w:hint="eastAsia" w:ascii="宋体" w:hAnsi="宋体"/>
          <w:color w:val="auto"/>
          <w:highlight w:val="none"/>
        </w:rPr>
        <w:t>/谈判要求。</w:t>
      </w:r>
    </w:p>
    <w:p>
      <w:pPr>
        <w:keepNext w:val="0"/>
        <w:keepLines w:val="0"/>
        <w:pageBreakBefore w:val="0"/>
        <w:widowControl/>
        <w:kinsoku/>
        <w:wordWrap/>
        <w:overflowPunct/>
        <w:topLinePunct w:val="0"/>
        <w:autoSpaceDE/>
        <w:autoSpaceDN/>
        <w:bidi w:val="0"/>
        <w:adjustRightInd/>
        <w:snapToGrid/>
        <w:spacing w:line="480" w:lineRule="exact"/>
        <w:ind w:left="300" w:leftChars="0" w:right="0" w:rightChars="0" w:hanging="300" w:hangingChars="150"/>
        <w:jc w:val="left"/>
        <w:textAlignment w:val="auto"/>
        <w:outlineLvl w:val="9"/>
        <w:rPr>
          <w:rFonts w:hint="eastAsia" w:ascii="宋体" w:hAnsi="宋体"/>
          <w:color w:val="auto"/>
          <w:highlight w:val="none"/>
        </w:rPr>
      </w:pPr>
      <w:r>
        <w:rPr>
          <w:rFonts w:hint="eastAsia" w:ascii="宋体" w:hAnsi="宋体"/>
          <w:color w:val="auto"/>
          <w:highlight w:val="none"/>
        </w:rPr>
        <w:t>2.报价人/响应供应商响应采购需求应具体、明确，含糊不清、不确切或伪造、变造证明材料的，按照不完全响应或者完全不响应处理。构成提供虚假材料的，移送监管部门查处。</w:t>
      </w:r>
    </w:p>
    <w:p>
      <w:pPr>
        <w:keepNext w:val="0"/>
        <w:keepLines w:val="0"/>
        <w:pageBreakBefore w:val="0"/>
        <w:widowControl/>
        <w:kinsoku/>
        <w:wordWrap/>
        <w:overflowPunct/>
        <w:topLinePunct w:val="0"/>
        <w:autoSpaceDE/>
        <w:autoSpaceDN/>
        <w:bidi w:val="0"/>
        <w:adjustRightInd/>
        <w:snapToGrid/>
        <w:spacing w:line="480" w:lineRule="exact"/>
        <w:ind w:left="300" w:leftChars="0" w:right="0" w:rightChars="0" w:hanging="300" w:hangingChars="150"/>
        <w:jc w:val="left"/>
        <w:textAlignment w:val="auto"/>
        <w:outlineLvl w:val="9"/>
        <w:rPr>
          <w:rFonts w:hint="eastAsia" w:ascii="宋体" w:hAnsi="宋体"/>
          <w:color w:val="auto"/>
          <w:highlight w:val="none"/>
        </w:rPr>
      </w:pPr>
      <w:r>
        <w:rPr>
          <w:rFonts w:hint="eastAsia" w:ascii="宋体" w:hAnsi="宋体"/>
          <w:color w:val="auto"/>
          <w:highlight w:val="none"/>
        </w:rPr>
        <w:t>3.本表内容不得擅自修改。</w:t>
      </w:r>
    </w:p>
    <w:p>
      <w:pPr>
        <w:spacing w:line="480" w:lineRule="exact"/>
        <w:rPr>
          <w:rFonts w:hint="eastAsia" w:ascii="宋体" w:hAnsi="宋体"/>
          <w:color w:val="auto"/>
          <w:highlight w:val="none"/>
        </w:rPr>
      </w:pPr>
    </w:p>
    <w:p>
      <w:pPr>
        <w:spacing w:line="480" w:lineRule="exact"/>
        <w:rPr>
          <w:rFonts w:hint="eastAsia" w:ascii="宋体" w:hAnsi="宋体"/>
          <w:color w:val="auto"/>
          <w:highlight w:val="none"/>
        </w:rPr>
      </w:pPr>
      <w:r>
        <w:rPr>
          <w:rFonts w:hint="eastAsia" w:ascii="宋体" w:hAnsi="宋体"/>
          <w:color w:val="auto"/>
          <w:highlight w:val="none"/>
        </w:rPr>
        <w:t>报价人/响应供应商法定代表人（或法定代表人授权代表）签</w:t>
      </w:r>
      <w:r>
        <w:rPr>
          <w:rFonts w:hint="eastAsia" w:ascii="宋体" w:hAnsi="宋体"/>
          <w:color w:val="auto"/>
          <w:highlight w:val="none"/>
          <w:lang w:eastAsia="zh-CN"/>
        </w:rPr>
        <w:t>章</w:t>
      </w:r>
      <w:r>
        <w:rPr>
          <w:rFonts w:hint="eastAsia" w:ascii="宋体" w:hAnsi="宋体"/>
          <w:color w:val="auto"/>
          <w:highlight w:val="none"/>
        </w:rPr>
        <w:t xml:space="preserve">：                   </w:t>
      </w:r>
    </w:p>
    <w:p>
      <w:pPr>
        <w:spacing w:line="480" w:lineRule="exact"/>
        <w:rPr>
          <w:rFonts w:hint="eastAsia" w:ascii="宋体" w:hAnsi="宋体"/>
          <w:color w:val="auto"/>
          <w:highlight w:val="none"/>
        </w:rPr>
      </w:pPr>
      <w:r>
        <w:rPr>
          <w:rFonts w:hint="eastAsia" w:ascii="宋体" w:hAnsi="宋体"/>
          <w:color w:val="auto"/>
          <w:highlight w:val="none"/>
        </w:rPr>
        <w:t xml:space="preserve">报价人/响应供应商名称（签章）：                        </w:t>
      </w:r>
    </w:p>
    <w:p>
      <w:pPr>
        <w:pStyle w:val="25"/>
        <w:ind w:left="0" w:leftChars="0" w:firstLine="0" w:firstLineChars="0"/>
        <w:jc w:val="left"/>
        <w:rPr>
          <w:rStyle w:val="38"/>
          <w:rFonts w:hint="eastAsia" w:ascii="宋体" w:hAnsi="宋体" w:eastAsia="宋体" w:cs="宋体"/>
          <w:b w:val="0"/>
          <w:color w:val="auto"/>
          <w:highlight w:val="none"/>
        </w:rPr>
      </w:pPr>
      <w:r>
        <w:rPr>
          <w:rFonts w:hint="eastAsia" w:ascii="宋体" w:hAnsi="宋体" w:eastAsia="宋体" w:cs="Times New Roman"/>
          <w:b w:val="0"/>
          <w:color w:val="auto"/>
          <w:sz w:val="20"/>
          <w:szCs w:val="20"/>
          <w:highlight w:val="none"/>
          <w:lang w:val="en-US" w:eastAsia="zh-CN" w:bidi="ar-SA"/>
        </w:rPr>
        <w:t>日   期：   年   月   日</w:t>
      </w:r>
      <w:r>
        <w:rPr>
          <w:rFonts w:hint="eastAsia" w:ascii="宋体" w:hAnsi="宋体" w:eastAsia="宋体" w:cs="宋体"/>
          <w:color w:val="auto"/>
          <w:szCs w:val="21"/>
          <w:highlight w:val="none"/>
        </w:rPr>
        <w:br w:type="page"/>
      </w:r>
    </w:p>
    <w:p>
      <w:pPr>
        <w:spacing w:line="360" w:lineRule="auto"/>
        <w:jc w:val="center"/>
        <w:rPr>
          <w:rFonts w:hint="eastAsia" w:ascii="宋体" w:hAnsi="宋体" w:eastAsia="宋体" w:cs="宋体"/>
          <w:color w:val="auto"/>
          <w:sz w:val="28"/>
          <w:szCs w:val="28"/>
          <w:highlight w:val="none"/>
          <w:u w:val="single"/>
        </w:rPr>
      </w:pPr>
    </w:p>
    <w:p>
      <w:pPr>
        <w:spacing w:line="360" w:lineRule="auto"/>
        <w:jc w:val="center"/>
        <w:rPr>
          <w:rFonts w:hint="eastAsia" w:ascii="宋体" w:hAnsi="宋体" w:eastAsia="宋体" w:cs="宋体"/>
          <w:color w:val="auto"/>
          <w:sz w:val="28"/>
          <w:szCs w:val="28"/>
          <w:highlight w:val="none"/>
          <w:u w:val="single"/>
        </w:rPr>
      </w:pPr>
    </w:p>
    <w:p>
      <w:pPr>
        <w:spacing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2021年罗定市农产品质量安全监督检测站仪器</w:t>
      </w:r>
    </w:p>
    <w:p>
      <w:pPr>
        <w:spacing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设备采购项目</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投标文件</w:t>
      </w:r>
    </w:p>
    <w:p>
      <w:pPr>
        <w:spacing w:line="360" w:lineRule="auto"/>
        <w:jc w:val="center"/>
        <w:rPr>
          <w:rFonts w:hint="eastAsia" w:ascii="宋体" w:hAnsi="宋体" w:eastAsia="宋体" w:cs="宋体"/>
          <w:b/>
          <w:color w:val="auto"/>
          <w:sz w:val="44"/>
          <w:szCs w:val="44"/>
          <w:highlight w:val="none"/>
          <w:u w:val="single"/>
        </w:rPr>
      </w:pPr>
    </w:p>
    <w:p>
      <w:pPr>
        <w:spacing w:line="360" w:lineRule="auto"/>
        <w:jc w:val="center"/>
        <w:rPr>
          <w:rFonts w:hint="eastAsia" w:ascii="宋体" w:hAnsi="宋体" w:eastAsia="宋体" w:cs="宋体"/>
          <w:b/>
          <w:color w:val="auto"/>
          <w:sz w:val="48"/>
          <w:highlight w:val="none"/>
        </w:rPr>
      </w:pPr>
    </w:p>
    <w:p>
      <w:pPr>
        <w:jc w:val="center"/>
        <w:rPr>
          <w:rFonts w:hint="eastAsia" w:ascii="宋体" w:hAnsi="宋体" w:eastAsia="宋体" w:cs="宋体"/>
          <w:color w:val="auto"/>
          <w:sz w:val="72"/>
          <w:highlight w:val="none"/>
        </w:rPr>
      </w:pPr>
    </w:p>
    <w:p>
      <w:pPr>
        <w:jc w:val="center"/>
        <w:rPr>
          <w:rFonts w:hint="eastAsia" w:ascii="宋体" w:hAnsi="宋体" w:eastAsia="宋体" w:cs="宋体"/>
          <w:color w:val="auto"/>
          <w:sz w:val="72"/>
          <w:szCs w:val="72"/>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color w:val="auto"/>
          <w:sz w:val="72"/>
          <w:szCs w:val="72"/>
          <w:highlight w:val="none"/>
        </w:rPr>
        <w:t>商务部分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1440" w:leftChars="720"/>
        <w:rPr>
          <w:rFonts w:hint="eastAsia" w:ascii="宋体" w:hAnsi="宋体" w:eastAsia="宋体" w:cs="宋体"/>
          <w:color w:val="auto"/>
          <w:sz w:val="30"/>
          <w:highlight w:val="none"/>
        </w:rPr>
      </w:pPr>
    </w:p>
    <w:p>
      <w:pPr>
        <w:snapToGrid w:val="0"/>
        <w:spacing w:line="480" w:lineRule="auto"/>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投  标  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（盖公章）</w:t>
      </w:r>
    </w:p>
    <w:p>
      <w:pPr>
        <w:snapToGrid w:val="0"/>
        <w:ind w:left="1440" w:leftChars="720"/>
        <w:rPr>
          <w:rFonts w:hint="eastAsia" w:ascii="宋体" w:hAnsi="宋体" w:eastAsia="宋体" w:cs="宋体"/>
          <w:color w:val="auto"/>
          <w:sz w:val="30"/>
          <w:highlight w:val="none"/>
        </w:rPr>
      </w:pPr>
    </w:p>
    <w:p>
      <w:pPr>
        <w:snapToGrid w:val="0"/>
        <w:ind w:left="1440" w:leftChars="720"/>
        <w:rPr>
          <w:rFonts w:hint="eastAsia" w:ascii="宋体" w:hAnsi="宋体" w:eastAsia="宋体" w:cs="宋体"/>
          <w:color w:val="auto"/>
          <w:sz w:val="30"/>
          <w:highlight w:val="none"/>
        </w:rPr>
      </w:pPr>
      <w:r>
        <w:rPr>
          <w:rFonts w:hint="eastAsia" w:ascii="宋体" w:hAnsi="宋体" w:eastAsia="宋体" w:cs="宋体"/>
          <w:color w:val="auto"/>
          <w:sz w:val="30"/>
          <w:highlight w:val="none"/>
        </w:rPr>
        <w:t>法定代表人或其委托代理人：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u w:val="single"/>
        </w:rPr>
        <w:t xml:space="preserve">  （签</w:t>
      </w:r>
      <w:r>
        <w:rPr>
          <w:rFonts w:hint="eastAsia" w:ascii="宋体" w:hAnsi="宋体" w:cs="宋体"/>
          <w:color w:val="auto"/>
          <w:sz w:val="30"/>
          <w:highlight w:val="none"/>
          <w:u w:val="single"/>
          <w:lang w:eastAsia="zh-CN"/>
        </w:rPr>
        <w:t>章</w:t>
      </w:r>
      <w:r>
        <w:rPr>
          <w:rFonts w:hint="eastAsia" w:ascii="宋体" w:hAnsi="宋体" w:eastAsia="宋体" w:cs="宋体"/>
          <w:color w:val="auto"/>
          <w:sz w:val="30"/>
          <w:highlight w:val="none"/>
          <w:u w:val="single"/>
        </w:rPr>
        <w:t>）</w:t>
      </w:r>
    </w:p>
    <w:p>
      <w:pPr>
        <w:snapToGrid w:val="0"/>
        <w:spacing w:before="480" w:line="360" w:lineRule="auto"/>
        <w:rPr>
          <w:rFonts w:hint="eastAsia" w:ascii="宋体" w:hAnsi="宋体" w:eastAsia="宋体" w:cs="宋体"/>
          <w:color w:val="auto"/>
          <w:sz w:val="30"/>
          <w:highlight w:val="none"/>
        </w:rPr>
      </w:pPr>
    </w:p>
    <w:p>
      <w:pPr>
        <w:jc w:val="center"/>
        <w:rPr>
          <w:rFonts w:hint="eastAsia" w:ascii="宋体" w:hAnsi="宋体" w:eastAsia="宋体" w:cs="宋体"/>
          <w:color w:val="auto"/>
          <w:sz w:val="30"/>
          <w:highlight w:val="none"/>
        </w:rPr>
      </w:pPr>
    </w:p>
    <w:p>
      <w:pPr>
        <w:rPr>
          <w:rFonts w:hint="eastAsia" w:ascii="宋体" w:hAnsi="宋体" w:eastAsia="宋体" w:cs="宋体"/>
          <w:color w:val="auto"/>
          <w:highlight w:val="none"/>
        </w:rPr>
      </w:pPr>
    </w:p>
    <w:p>
      <w:pPr>
        <w:ind w:firstLine="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投标函</w:t>
      </w:r>
    </w:p>
    <w:p>
      <w:pPr>
        <w:ind w:firstLine="0"/>
        <w:jc w:val="center"/>
        <w:rPr>
          <w:rFonts w:hint="eastAsia" w:ascii="宋体" w:hAnsi="宋体" w:eastAsia="宋体" w:cs="宋体"/>
          <w:color w:val="auto"/>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致: </w:t>
      </w:r>
      <w:r>
        <w:rPr>
          <w:rFonts w:hint="eastAsia" w:ascii="宋体" w:hAnsi="宋体" w:cs="宋体"/>
          <w:b/>
          <w:bCs/>
          <w:color w:val="auto"/>
          <w:sz w:val="21"/>
          <w:szCs w:val="21"/>
          <w:highlight w:val="none"/>
          <w:lang w:eastAsia="zh-CN"/>
        </w:rPr>
        <w:t>罗定市农业农村局</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kern w:val="28"/>
          <w:sz w:val="21"/>
          <w:szCs w:val="21"/>
          <w:highlight w:val="none"/>
          <w:u w:val="single"/>
        </w:rPr>
        <w:t xml:space="preserve">       （项目名称）       </w:t>
      </w:r>
      <w:r>
        <w:rPr>
          <w:rFonts w:hint="eastAsia" w:ascii="宋体" w:hAnsi="宋体" w:eastAsia="宋体" w:cs="宋体"/>
          <w:color w:val="auto"/>
          <w:sz w:val="21"/>
          <w:szCs w:val="21"/>
          <w:highlight w:val="none"/>
        </w:rPr>
        <w:t>货物及服务的</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的全部内容，我方：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(投标人名称)作为投标者正式授权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(授权代表全名,职务)代表我方进行有关本投标的一切事宜。</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在此提交的投标文件,正本</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 副本</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eastAsia="zh-CN"/>
        </w:rPr>
        <w:t>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份，投标文件包括如下等内容:</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投标文件第一部分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投标报价表</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投标文件第二部分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投标函；</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授权书；</w:t>
      </w:r>
    </w:p>
    <w:p>
      <w:pPr>
        <w:pStyle w:val="16"/>
        <w:spacing w:line="4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（三）  资格证明文件；</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eastAsia="zh-CN"/>
        </w:rPr>
        <w:t>四</w:t>
      </w:r>
      <w:r>
        <w:rPr>
          <w:rFonts w:hint="eastAsia" w:ascii="宋体" w:hAnsi="宋体" w:eastAsia="宋体" w:cs="宋体"/>
          <w:color w:val="auto"/>
          <w:szCs w:val="21"/>
          <w:highlight w:val="none"/>
        </w:rPr>
        <w:t>）  投标响应表及差异表；</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eastAsia="zh-CN"/>
        </w:rPr>
        <w:t>五</w:t>
      </w:r>
      <w:r>
        <w:rPr>
          <w:rFonts w:hint="eastAsia" w:ascii="宋体" w:hAnsi="宋体" w:eastAsia="宋体" w:cs="宋体"/>
          <w:color w:val="auto"/>
          <w:szCs w:val="21"/>
          <w:highlight w:val="none"/>
        </w:rPr>
        <w:t>）  按</w:t>
      </w:r>
      <w:r>
        <w:rPr>
          <w:rFonts w:hint="eastAsia" w:hAnsi="宋体" w:cs="宋体"/>
          <w:color w:val="auto"/>
          <w:szCs w:val="21"/>
          <w:highlight w:val="none"/>
          <w:lang w:eastAsia="zh-CN"/>
        </w:rPr>
        <w:t>邀标文件</w:t>
      </w:r>
      <w:r>
        <w:rPr>
          <w:rFonts w:hint="eastAsia" w:ascii="宋体" w:hAnsi="宋体" w:eastAsia="宋体" w:cs="宋体"/>
          <w:color w:val="auto"/>
          <w:szCs w:val="21"/>
          <w:highlight w:val="none"/>
        </w:rPr>
        <w:t>投标人须知的要求提供的投标文件格式的其它有关文件。</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 投标文件第三部分</w:t>
      </w:r>
    </w:p>
    <w:p>
      <w:pPr>
        <w:pStyle w:val="16"/>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技术、商务响应文件及差异表。</w:t>
      </w:r>
    </w:p>
    <w:p>
      <w:pPr>
        <w:spacing w:line="48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的所有条款要求，并重申以下几点：</w:t>
      </w:r>
    </w:p>
    <w:p>
      <w:pPr>
        <w:spacing w:line="480" w:lineRule="exact"/>
        <w:ind w:left="600" w:hanging="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（一）我方决定参加：采购编号为</w:t>
      </w:r>
      <w:r>
        <w:rPr>
          <w:rFonts w:hint="eastAsia" w:ascii="宋体" w:hAnsi="宋体" w:cs="宋体"/>
          <w:color w:val="auto"/>
          <w:kern w:val="28"/>
          <w:sz w:val="21"/>
          <w:szCs w:val="21"/>
          <w:highlight w:val="none"/>
          <w:u w:val="single"/>
          <w:lang w:eastAsia="zh-CN"/>
        </w:rPr>
        <w:t>SZZB21H04YQ068</w:t>
      </w:r>
      <w:r>
        <w:rPr>
          <w:rFonts w:hint="eastAsia" w:ascii="宋体" w:hAnsi="宋体" w:eastAsia="宋体" w:cs="宋体"/>
          <w:color w:val="auto"/>
          <w:sz w:val="21"/>
          <w:szCs w:val="21"/>
          <w:highlight w:val="none"/>
        </w:rPr>
        <w:t>的报价；</w:t>
      </w:r>
    </w:p>
    <w:p>
      <w:pPr>
        <w:spacing w:line="480" w:lineRule="exact"/>
        <w:ind w:left="471" w:hanging="4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（二）全部货物之供应和有关服务的报价总价（详见投标报价表）；</w:t>
      </w:r>
    </w:p>
    <w:p>
      <w:pPr>
        <w:spacing w:line="480" w:lineRule="exact"/>
        <w:ind w:left="600" w:hanging="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（三）本投标文件的有效期为投标日起的 </w:t>
      </w:r>
      <w:r>
        <w:rPr>
          <w:rFonts w:hint="eastAsia" w:ascii="宋体" w:hAnsi="宋体" w:eastAsia="宋体" w:cs="宋体"/>
          <w:color w:val="auto"/>
          <w:sz w:val="21"/>
          <w:szCs w:val="21"/>
          <w:highlight w:val="none"/>
          <w:u w:val="single"/>
        </w:rPr>
        <w:t>90天</w:t>
      </w:r>
      <w:r>
        <w:rPr>
          <w:rFonts w:hint="eastAsia" w:ascii="宋体" w:hAnsi="宋体" w:eastAsia="宋体" w:cs="宋体"/>
          <w:color w:val="auto"/>
          <w:sz w:val="21"/>
          <w:szCs w:val="21"/>
          <w:highlight w:val="none"/>
        </w:rPr>
        <w:t>内有效，如成交，有效期将延至合同终止日为止；</w:t>
      </w:r>
    </w:p>
    <w:p>
      <w:pPr>
        <w:spacing w:line="480" w:lineRule="exact"/>
        <w:ind w:left="693" w:hanging="693" w:hangingChars="3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（四）我方已详细研究了</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的所有内容包括修改文件(如果有)和所有已提供的参考资料以及有关附件并完全明白, 我方放弃在此方面提出含糊意见或误解的一切权力。</w:t>
      </w:r>
    </w:p>
    <w:p>
      <w:pPr>
        <w:spacing w:line="480" w:lineRule="exact"/>
        <w:ind w:left="693" w:hanging="693" w:hangingChars="3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我方明白并愿意在规定的投标时间和日期之后,投标有效期之内撤回报价, 则报价保证金将被贵方没收。</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 我方同意按照贵方可能提出的要求而提供与报价有关的任何其它数据或信息。</w:t>
      </w:r>
    </w:p>
    <w:p>
      <w:pPr>
        <w:spacing w:line="480" w:lineRule="exact"/>
        <w:ind w:left="588" w:hanging="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 我方理解贵方不一定接受最低标价或任何贵方可能收到的报价。</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 我方如果成交，将保证履行</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eastAsia="zh-CN"/>
        </w:rPr>
        <w:t>邀标文件</w:t>
      </w:r>
      <w:r>
        <w:rPr>
          <w:rFonts w:hint="eastAsia" w:ascii="宋体" w:hAnsi="宋体" w:eastAsia="宋体" w:cs="宋体"/>
          <w:color w:val="auto"/>
          <w:sz w:val="21"/>
          <w:szCs w:val="21"/>
          <w:highlight w:val="none"/>
        </w:rPr>
        <w:t>修改文件（如果有的话）中的全部责任和义务，按质、按量、按期完成《采购单位需求书》及《合同书》中的全部任务。</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 如我方被授予合同，由我方就本次</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支付或将支付的服务费列于</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文件要求的承诺书（承诺书号</w:t>
      </w:r>
      <w:r>
        <w:rPr>
          <w:rFonts w:hint="eastAsia" w:ascii="宋体" w:hAnsi="宋体" w:cs="宋体"/>
          <w:color w:val="auto"/>
          <w:sz w:val="21"/>
          <w:szCs w:val="21"/>
          <w:highlight w:val="none"/>
          <w:lang w:val="en-US" w:eastAsia="zh-CN"/>
        </w:rPr>
        <w:t>ZB</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SZZB21H04YQ068</w:t>
      </w:r>
      <w:r>
        <w:rPr>
          <w:rFonts w:hint="eastAsia" w:ascii="宋体" w:hAnsi="宋体" w:eastAsia="宋体" w:cs="宋体"/>
          <w:color w:val="auto"/>
          <w:sz w:val="21"/>
          <w:szCs w:val="21"/>
          <w:highlight w:val="none"/>
        </w:rPr>
        <w:t>）中。</w:t>
      </w:r>
    </w:p>
    <w:p>
      <w:pPr>
        <w:spacing w:line="480" w:lineRule="exact"/>
        <w:ind w:left="735" w:hanging="735" w:hanging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 所有与本</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有关的函件请发往下列地址:</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exact"/>
        <w:ind w:left="72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代表姓名：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u w:val="single"/>
        </w:rPr>
      </w:pPr>
    </w:p>
    <w:p>
      <w:pPr>
        <w:spacing w:line="360" w:lineRule="auto"/>
        <w:rPr>
          <w:rFonts w:hint="eastAsia" w:ascii="宋体" w:hAnsi="宋体" w:eastAsia="宋体" w:cs="宋体"/>
          <w:color w:val="auto"/>
          <w:sz w:val="21"/>
          <w:szCs w:val="21"/>
          <w:highlight w:val="none"/>
          <w:u w:val="single"/>
        </w:rPr>
      </w:pPr>
    </w:p>
    <w:p>
      <w:pPr>
        <w:pStyle w:val="2"/>
        <w:rPr>
          <w:rFonts w:hint="eastAsia" w:ascii="宋体" w:hAnsi="宋体" w:eastAsia="宋体" w:cs="宋体"/>
          <w:color w:val="auto"/>
          <w:sz w:val="21"/>
          <w:szCs w:val="21"/>
          <w:highlight w:val="none"/>
          <w:u w:val="single"/>
        </w:rPr>
      </w:pPr>
    </w:p>
    <w:p>
      <w:pPr>
        <w:pStyle w:val="2"/>
        <w:rPr>
          <w:rFonts w:hint="eastAsia" w:ascii="宋体" w:hAnsi="宋体" w:eastAsia="宋体" w:cs="宋体"/>
          <w:color w:val="auto"/>
          <w:sz w:val="21"/>
          <w:szCs w:val="21"/>
          <w:highlight w:val="none"/>
          <w:u w:val="singl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pPr>
        <w:spacing w:line="360" w:lineRule="auto"/>
        <w:ind w:left="4380" w:leftChars="2190"/>
        <w:rPr>
          <w:rFonts w:hint="eastAsia" w:ascii="宋体" w:hAnsi="宋体" w:eastAsia="宋体" w:cs="宋体"/>
          <w:color w:val="auto"/>
          <w:sz w:val="21"/>
          <w:szCs w:val="21"/>
          <w:highlight w:val="non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p>
    <w:p>
      <w:pPr>
        <w:spacing w:line="360" w:lineRule="auto"/>
        <w:ind w:left="4380" w:leftChars="2190"/>
        <w:rPr>
          <w:rFonts w:hint="eastAsia" w:ascii="宋体" w:hAnsi="宋体" w:eastAsia="宋体" w:cs="宋体"/>
          <w:color w:val="auto"/>
          <w:sz w:val="21"/>
          <w:szCs w:val="21"/>
          <w:highlight w:val="none"/>
        </w:rPr>
      </w:pPr>
    </w:p>
    <w:p>
      <w:pPr>
        <w:spacing w:line="360" w:lineRule="auto"/>
        <w:ind w:left="4380" w:leftChars="2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w:t>
      </w:r>
      <w:r>
        <w:rPr>
          <w:rFonts w:hint="eastAsia" w:ascii="宋体" w:hAnsi="宋体" w:cs="宋体"/>
          <w:color w:val="auto"/>
          <w:sz w:val="21"/>
          <w:szCs w:val="21"/>
          <w:highlight w:val="none"/>
          <w:lang w:eastAsia="zh-CN"/>
        </w:rPr>
        <w:t>签章</w:t>
      </w:r>
      <w:r>
        <w:rPr>
          <w:rFonts w:hint="eastAsia" w:ascii="宋体" w:hAnsi="宋体" w:eastAsia="宋体" w:cs="宋体"/>
          <w:color w:val="auto"/>
          <w:sz w:val="21"/>
          <w:szCs w:val="21"/>
          <w:highlight w:val="none"/>
        </w:rPr>
        <w:t>）：</w:t>
      </w:r>
    </w:p>
    <w:p>
      <w:pPr>
        <w:spacing w:line="360" w:lineRule="auto"/>
        <w:ind w:left="4380" w:leftChars="2190"/>
        <w:rPr>
          <w:rFonts w:hint="eastAsia" w:ascii="宋体" w:hAnsi="宋体" w:eastAsia="宋体" w:cs="宋体"/>
          <w:color w:val="auto"/>
          <w:sz w:val="21"/>
          <w:szCs w:val="21"/>
          <w:highlight w:val="none"/>
        </w:rPr>
      </w:pPr>
    </w:p>
    <w:p>
      <w:pPr>
        <w:spacing w:line="400" w:lineRule="exact"/>
        <w:ind w:right="420"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80" w:lineRule="auto"/>
        <w:rPr>
          <w:rFonts w:hint="eastAsia" w:ascii="宋体" w:hAnsi="宋体" w:eastAsia="宋体" w:cs="宋体"/>
          <w:color w:val="auto"/>
          <w:szCs w:val="21"/>
          <w:highlight w:val="none"/>
        </w:rPr>
      </w:pPr>
    </w:p>
    <w:p>
      <w:pPr>
        <w:pStyle w:val="25"/>
        <w:jc w:val="left"/>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需要提交的其他投标资料</w:t>
      </w:r>
    </w:p>
    <w:p>
      <w:pPr>
        <w:spacing w:line="360" w:lineRule="auto"/>
        <w:rPr>
          <w:rFonts w:hint="eastAsia"/>
        </w:rPr>
      </w:pPr>
      <w:r>
        <w:rPr>
          <w:rFonts w:hint="eastAsia" w:ascii="宋体" w:hAnsi="宋体" w:eastAsia="宋体" w:cs="宋体"/>
          <w:color w:val="auto"/>
          <w:sz w:val="24"/>
          <w:highlight w:val="none"/>
        </w:rPr>
        <w:t>项目名称：</w:t>
      </w:r>
    </w:p>
    <w:tbl>
      <w:tblPr>
        <w:tblStyle w:val="31"/>
        <w:tblW w:w="924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99" w:hRule="atLeast"/>
          <w:jc w:val="center"/>
        </w:trPr>
        <w:tc>
          <w:tcPr>
            <w:tcW w:w="9240" w:type="dxa"/>
            <w:vAlign w:val="top"/>
          </w:tcPr>
          <w:p>
            <w:pPr>
              <w:spacing w:line="360" w:lineRule="auto"/>
              <w:jc w:val="center"/>
              <w:rPr>
                <w:rFonts w:hint="eastAsia" w:ascii="宋体" w:hAnsi="宋体" w:eastAsia="宋体" w:cs="宋体"/>
                <w:b/>
                <w:color w:val="auto"/>
                <w:sz w:val="32"/>
                <w:szCs w:val="36"/>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需要提交的其他投标资料：</w:t>
            </w:r>
          </w:p>
          <w:p>
            <w:pPr>
              <w:spacing w:line="360" w:lineRule="auto"/>
              <w:ind w:firstLine="1440" w:firstLineChars="600"/>
              <w:rPr>
                <w:rFonts w:hint="eastAsia" w:ascii="宋体" w:hAnsi="宋体" w:eastAsia="宋体" w:cs="宋体"/>
                <w:color w:val="auto"/>
                <w:sz w:val="24"/>
                <w:highlight w:val="none"/>
              </w:rPr>
            </w:pP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（1）企业营业执照（复印件）</w:t>
            </w: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（2）税务登记证副本（国、地）（复印件）</w:t>
            </w: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（3）组织机构代码证（复印件）</w:t>
            </w:r>
          </w:p>
          <w:p>
            <w:pPr>
              <w:pStyle w:val="2"/>
              <w:spacing w:line="360" w:lineRule="auto"/>
              <w:ind w:firstLine="840" w:firstLineChars="400"/>
              <w:rPr>
                <w:rFonts w:hint="eastAsia"/>
                <w:color w:val="auto"/>
                <w:sz w:val="21"/>
                <w:szCs w:val="21"/>
                <w:highlight w:val="none"/>
              </w:rPr>
            </w:pPr>
            <w:r>
              <w:rPr>
                <w:rFonts w:hint="eastAsia"/>
                <w:color w:val="auto"/>
                <w:sz w:val="21"/>
                <w:szCs w:val="21"/>
                <w:highlight w:val="none"/>
              </w:rPr>
              <w:t>(如已经办理三证合一的，只需提供统一社会信用代码的营业执照）</w:t>
            </w: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（4）法定代表人、被授权人身份证（复印件）</w:t>
            </w: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（5）法定代表人资格证明书原件</w:t>
            </w:r>
          </w:p>
          <w:p>
            <w:pPr>
              <w:spacing w:line="360" w:lineRule="auto"/>
              <w:ind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（6）法定代表人委托授权书原件</w:t>
            </w:r>
          </w:p>
          <w:p>
            <w:pPr>
              <w:spacing w:line="360" w:lineRule="auto"/>
              <w:ind w:left="650" w:leftChars="32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邀标文件</w:t>
            </w:r>
            <w:r>
              <w:rPr>
                <w:rFonts w:hint="eastAsia" w:ascii="宋体" w:hAnsi="宋体" w:eastAsia="宋体" w:cs="宋体"/>
                <w:color w:val="auto"/>
                <w:sz w:val="24"/>
                <w:szCs w:val="24"/>
                <w:highlight w:val="none"/>
              </w:rPr>
              <w:t>规定应提供的其它资料。</w:t>
            </w:r>
          </w:p>
          <w:p>
            <w:pPr>
              <w:spacing w:line="360" w:lineRule="auto"/>
              <w:rPr>
                <w:rFonts w:hint="eastAsia" w:ascii="宋体" w:hAnsi="宋体" w:eastAsia="宋体" w:cs="宋体"/>
                <w:b/>
                <w:bCs/>
                <w:color w:val="auto"/>
                <w:sz w:val="28"/>
                <w:szCs w:val="28"/>
                <w:highlight w:val="none"/>
              </w:rPr>
            </w:pPr>
          </w:p>
        </w:tc>
      </w:tr>
    </w:tbl>
    <w:p>
      <w:pPr>
        <w:pStyle w:val="16"/>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6"/>
        <w:spacing w:line="480" w:lineRule="exact"/>
        <w:jc w:val="center"/>
        <w:rPr>
          <w:rFonts w:hint="eastAsia" w:ascii="宋体" w:hAnsi="宋体" w:eastAsia="宋体" w:cs="宋体"/>
          <w:color w:val="auto"/>
          <w:highlight w:val="none"/>
        </w:rPr>
      </w:pPr>
    </w:p>
    <w:p>
      <w:pPr>
        <w:pStyle w:val="16"/>
        <w:spacing w:line="4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投标报价总表</w:t>
      </w:r>
    </w:p>
    <w:p>
      <w:pPr>
        <w:pStyle w:val="16"/>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[货币单位：人民币元]</w:t>
      </w:r>
    </w:p>
    <w:p>
      <w:pPr>
        <w:pStyle w:val="16"/>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投标人名称：                                         </w:t>
      </w:r>
      <w:r>
        <w:rPr>
          <w:rFonts w:hint="eastAsia" w:hAnsi="宋体" w:cs="宋体"/>
          <w:color w:val="auto"/>
          <w:highlight w:val="none"/>
          <w:lang w:eastAsia="zh-CN"/>
        </w:rPr>
        <w:t>采购</w:t>
      </w:r>
      <w:r>
        <w:rPr>
          <w:rFonts w:hint="eastAsia" w:ascii="宋体" w:hAnsi="宋体" w:eastAsia="宋体" w:cs="宋体"/>
          <w:color w:val="auto"/>
          <w:highlight w:val="none"/>
        </w:rPr>
        <w:t>编号：</w:t>
      </w:r>
    </w:p>
    <w:tbl>
      <w:tblPr>
        <w:tblStyle w:val="31"/>
        <w:tblW w:w="9130" w:type="dxa"/>
        <w:tblInd w:w="0" w:type="dxa"/>
        <w:tblLayout w:type="fixed"/>
        <w:tblCellMar>
          <w:top w:w="0" w:type="dxa"/>
          <w:left w:w="30" w:type="dxa"/>
          <w:bottom w:w="0" w:type="dxa"/>
          <w:right w:w="30" w:type="dxa"/>
        </w:tblCellMar>
      </w:tblPr>
      <w:tblGrid>
        <w:gridCol w:w="644"/>
        <w:gridCol w:w="2266"/>
        <w:gridCol w:w="3420"/>
        <w:gridCol w:w="2800"/>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6"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分项内容</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2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30" w:type="dxa"/>
            <w:bottom w:w="0" w:type="dxa"/>
            <w:right w:w="30" w:type="dxa"/>
          </w:tblCellMar>
        </w:tblPrEx>
        <w:trPr>
          <w:cantSplit/>
          <w:trHeight w:val="720" w:hRule="atLeast"/>
        </w:trPr>
        <w:tc>
          <w:tcPr>
            <w:tcW w:w="644"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66"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tc>
        <w:tc>
          <w:tcPr>
            <w:tcW w:w="3420"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p>
        </w:tc>
        <w:tc>
          <w:tcPr>
            <w:tcW w:w="280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交货时间（</w:t>
            </w:r>
            <w:r>
              <w:rPr>
                <w:rFonts w:hint="eastAsia" w:ascii="宋体" w:hAnsi="宋体" w:eastAsia="宋体" w:cs="宋体"/>
                <w:color w:val="auto"/>
                <w:sz w:val="21"/>
                <w:szCs w:val="21"/>
                <w:highlight w:val="none"/>
              </w:rPr>
              <w:t>完工期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tc>
      </w:tr>
      <w:tr>
        <w:tblPrEx>
          <w:tblCellMar>
            <w:top w:w="0" w:type="dxa"/>
            <w:left w:w="30" w:type="dxa"/>
            <w:bottom w:w="0" w:type="dxa"/>
            <w:right w:w="30" w:type="dxa"/>
          </w:tblCellMar>
        </w:tblPrEx>
        <w:trPr>
          <w:cantSplit/>
          <w:trHeight w:val="720" w:hRule="atLeast"/>
        </w:trPr>
        <w:tc>
          <w:tcPr>
            <w:tcW w:w="6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相关服务</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p>
        </w:tc>
        <w:tc>
          <w:tcPr>
            <w:tcW w:w="2800" w:type="dxa"/>
            <w:vMerge w:val="continue"/>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p>
        </w:tc>
      </w:tr>
      <w:tr>
        <w:tblPrEx>
          <w:tblCellMar>
            <w:top w:w="0" w:type="dxa"/>
            <w:left w:w="30" w:type="dxa"/>
            <w:bottom w:w="0" w:type="dxa"/>
            <w:right w:w="30" w:type="dxa"/>
          </w:tblCellMar>
        </w:tblPrEx>
        <w:trPr>
          <w:cantSplit/>
          <w:trHeight w:val="720" w:hRule="atLeast"/>
        </w:trPr>
        <w:tc>
          <w:tcPr>
            <w:tcW w:w="6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p>
        </w:tc>
        <w:tc>
          <w:tcPr>
            <w:tcW w:w="280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color w:val="auto"/>
                <w:sz w:val="21"/>
                <w:szCs w:val="21"/>
                <w:highlight w:val="none"/>
              </w:rPr>
            </w:pPr>
          </w:p>
        </w:tc>
      </w:tr>
      <w:tr>
        <w:tblPrEx>
          <w:tblCellMar>
            <w:top w:w="0" w:type="dxa"/>
            <w:left w:w="30" w:type="dxa"/>
            <w:bottom w:w="0" w:type="dxa"/>
            <w:right w:w="30" w:type="dxa"/>
          </w:tblCellMar>
        </w:tblPrEx>
        <w:trPr>
          <w:cantSplit/>
          <w:trHeight w:val="704" w:hRule="atLeast"/>
        </w:trPr>
        <w:tc>
          <w:tcPr>
            <w:tcW w:w="29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总计</w:t>
            </w:r>
          </w:p>
        </w:tc>
        <w:tc>
          <w:tcPr>
            <w:tcW w:w="62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                                （¥               ）</w:t>
            </w:r>
          </w:p>
        </w:tc>
      </w:tr>
    </w:tbl>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此表的总计是所有需买方支付的本次</w:t>
      </w:r>
      <w:r>
        <w:rPr>
          <w:rFonts w:hint="eastAsia" w:ascii="宋体" w:hAnsi="宋体" w:cs="宋体"/>
          <w:color w:val="auto"/>
          <w:sz w:val="21"/>
          <w:szCs w:val="21"/>
          <w:highlight w:val="none"/>
          <w:lang w:eastAsia="zh-CN"/>
        </w:rPr>
        <w:t>邀标</w:t>
      </w:r>
      <w:r>
        <w:rPr>
          <w:rFonts w:hint="eastAsia" w:ascii="宋体" w:hAnsi="宋体" w:eastAsia="宋体" w:cs="宋体"/>
          <w:color w:val="auto"/>
          <w:sz w:val="21"/>
          <w:szCs w:val="21"/>
          <w:highlight w:val="none"/>
        </w:rPr>
        <w:t>标的金额总数，即</w:t>
      </w:r>
      <w:r>
        <w:rPr>
          <w:rFonts w:hint="eastAsia" w:ascii="宋体" w:hAnsi="宋体" w:eastAsia="宋体" w:cs="宋体"/>
          <w:b/>
          <w:color w:val="auto"/>
          <w:sz w:val="21"/>
          <w:szCs w:val="21"/>
          <w:highlight w:val="none"/>
        </w:rPr>
        <w:t>投标总价</w:t>
      </w:r>
      <w:r>
        <w:rPr>
          <w:rFonts w:hint="eastAsia" w:ascii="宋体" w:hAnsi="宋体" w:eastAsia="宋体" w:cs="宋体"/>
          <w:color w:val="auto"/>
          <w:sz w:val="21"/>
          <w:szCs w:val="21"/>
          <w:highlight w:val="none"/>
        </w:rPr>
        <w:t>。</w:t>
      </w:r>
    </w:p>
    <w:p>
      <w:pPr>
        <w:spacing w:line="480" w:lineRule="exact"/>
        <w:rPr>
          <w:rFonts w:hint="eastAsia" w:ascii="宋体" w:hAnsi="宋体" w:eastAsia="宋体" w:cs="宋体"/>
          <w:color w:val="auto"/>
          <w:sz w:val="21"/>
          <w:szCs w:val="21"/>
          <w:highlight w:val="none"/>
        </w:rPr>
      </w:pPr>
    </w:p>
    <w:p>
      <w:pPr>
        <w:spacing w:line="480" w:lineRule="exact"/>
        <w:rPr>
          <w:rFonts w:hint="eastAsia" w:ascii="宋体" w:hAnsi="宋体" w:eastAsia="宋体" w:cs="宋体"/>
          <w:color w:val="auto"/>
          <w:sz w:val="21"/>
          <w:szCs w:val="21"/>
          <w:highlight w:val="none"/>
        </w:rPr>
      </w:pPr>
    </w:p>
    <w:p>
      <w:pPr>
        <w:tabs>
          <w:tab w:val="left" w:pos="676"/>
          <w:tab w:val="left" w:pos="2330"/>
          <w:tab w:val="left" w:pos="9230"/>
        </w:tabs>
        <w:autoSpaceDE w:val="0"/>
        <w:autoSpaceDN w:val="0"/>
        <w:adjustRightInd w:val="0"/>
        <w:spacing w:line="480" w:lineRule="exact"/>
        <w:ind w:left="4476" w:leftChars="223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pPr>
        <w:tabs>
          <w:tab w:val="left" w:pos="676"/>
          <w:tab w:val="left" w:pos="2330"/>
          <w:tab w:val="left" w:pos="9230"/>
        </w:tabs>
        <w:autoSpaceDE w:val="0"/>
        <w:autoSpaceDN w:val="0"/>
        <w:adjustRightInd w:val="0"/>
        <w:spacing w:line="480" w:lineRule="exact"/>
        <w:ind w:left="4476" w:leftChars="223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r>
        <w:rPr>
          <w:rFonts w:hint="eastAsia" w:ascii="宋体" w:hAnsi="宋体" w:cs="宋体"/>
          <w:color w:val="auto"/>
          <w:sz w:val="21"/>
          <w:szCs w:val="21"/>
          <w:highlight w:val="none"/>
          <w:lang w:eastAsia="zh-CN"/>
        </w:rPr>
        <w:t>签章</w:t>
      </w:r>
      <w:r>
        <w:rPr>
          <w:rFonts w:hint="eastAsia" w:ascii="宋体" w:hAnsi="宋体" w:eastAsia="宋体" w:cs="宋体"/>
          <w:color w:val="auto"/>
          <w:sz w:val="21"/>
          <w:szCs w:val="21"/>
          <w:highlight w:val="none"/>
        </w:rPr>
        <w:t>）：</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pStyle w:val="16"/>
        <w:spacing w:line="360" w:lineRule="auto"/>
        <w:ind w:left="720" w:hanging="7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6"/>
        <w:spacing w:line="360" w:lineRule="auto"/>
        <w:ind w:left="720" w:hanging="720"/>
        <w:jc w:val="center"/>
        <w:rPr>
          <w:rFonts w:hint="eastAsia" w:ascii="宋体" w:hAnsi="宋体" w:eastAsia="宋体" w:cs="宋体"/>
          <w:color w:val="auto"/>
          <w:highlight w:val="none"/>
        </w:rPr>
      </w:pPr>
    </w:p>
    <w:p>
      <w:pPr>
        <w:pStyle w:val="16"/>
        <w:spacing w:line="360" w:lineRule="auto"/>
        <w:ind w:left="720" w:hanging="7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报价明细表</w:t>
      </w:r>
    </w:p>
    <w:p>
      <w:pPr>
        <w:pStyle w:val="16"/>
        <w:spacing w:line="360" w:lineRule="auto"/>
        <w:ind w:left="720" w:hanging="7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[货币单位：人民币元]</w:t>
      </w:r>
    </w:p>
    <w:p>
      <w:pPr>
        <w:pStyle w:val="16"/>
        <w:spacing w:line="360" w:lineRule="auto"/>
        <w:ind w:left="720" w:hanging="720"/>
        <w:jc w:val="center"/>
        <w:rPr>
          <w:rFonts w:hint="eastAsia" w:ascii="宋体" w:hAnsi="宋体" w:eastAsia="宋体" w:cs="宋体"/>
          <w:color w:val="auto"/>
          <w:szCs w:val="21"/>
          <w:highlight w:val="none"/>
        </w:rPr>
      </w:pPr>
      <w:r>
        <w:rPr>
          <w:rFonts w:hint="eastAsia" w:hAnsi="宋体" w:cs="宋体"/>
          <w:szCs w:val="21"/>
        </w:rPr>
        <w:t>（仅供参考，可自行调整）</w:t>
      </w: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                                              采购编号： </w:t>
      </w:r>
    </w:p>
    <w:tbl>
      <w:tblPr>
        <w:tblStyle w:val="31"/>
        <w:tblW w:w="9210" w:type="dxa"/>
        <w:tblInd w:w="0" w:type="dxa"/>
        <w:tblLayout w:type="fixed"/>
        <w:tblCellMar>
          <w:top w:w="0" w:type="dxa"/>
          <w:left w:w="30" w:type="dxa"/>
          <w:bottom w:w="0" w:type="dxa"/>
          <w:right w:w="30" w:type="dxa"/>
        </w:tblCellMar>
      </w:tblPr>
      <w:tblGrid>
        <w:gridCol w:w="750"/>
        <w:gridCol w:w="900"/>
        <w:gridCol w:w="1080"/>
        <w:gridCol w:w="1260"/>
        <w:gridCol w:w="1260"/>
        <w:gridCol w:w="1260"/>
        <w:gridCol w:w="900"/>
        <w:gridCol w:w="1080"/>
        <w:gridCol w:w="720"/>
      </w:tblGrid>
      <w:tr>
        <w:tblPrEx>
          <w:tblCellMar>
            <w:top w:w="0" w:type="dxa"/>
            <w:left w:w="30" w:type="dxa"/>
            <w:bottom w:w="0" w:type="dxa"/>
            <w:right w:w="30" w:type="dxa"/>
          </w:tblCellMar>
        </w:tblPrEx>
        <w:trPr>
          <w:cantSplit/>
          <w:trHeight w:val="405" w:hRule="atLeast"/>
        </w:trPr>
        <w:tc>
          <w:tcPr>
            <w:tcW w:w="75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30" w:type="dxa"/>
            <w:bottom w:w="0" w:type="dxa"/>
            <w:right w:w="30" w:type="dxa"/>
          </w:tblCellMar>
        </w:tblPrEx>
        <w:trPr>
          <w:cantSplit/>
          <w:trHeight w:val="292" w:hRule="atLeast"/>
        </w:trPr>
        <w:tc>
          <w:tcPr>
            <w:tcW w:w="75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原产国</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30" w:type="dxa"/>
            <w:bottom w:w="0" w:type="dxa"/>
            <w:right w:w="30" w:type="dxa"/>
          </w:tblCellMar>
        </w:tblPrEx>
        <w:trPr>
          <w:trHeight w:val="292" w:hRule="atLeas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p>
        </w:tc>
      </w:tr>
      <w:tr>
        <w:tblPrEx>
          <w:tblCellMar>
            <w:top w:w="0" w:type="dxa"/>
            <w:left w:w="30" w:type="dxa"/>
            <w:bottom w:w="0" w:type="dxa"/>
            <w:right w:w="30" w:type="dxa"/>
          </w:tblCellMar>
        </w:tblPrEx>
        <w:trPr>
          <w:trHeight w:val="292" w:hRule="atLeas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r>
      <w:tr>
        <w:tblPrEx>
          <w:tblCellMar>
            <w:top w:w="0" w:type="dxa"/>
            <w:left w:w="30" w:type="dxa"/>
            <w:bottom w:w="0" w:type="dxa"/>
            <w:right w:w="30" w:type="dxa"/>
          </w:tblCellMar>
        </w:tblPrEx>
        <w:trPr>
          <w:trHeight w:val="292" w:hRule="atLeas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w:t>
            </w: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r>
      <w:tr>
        <w:tblPrEx>
          <w:tblCellMar>
            <w:top w:w="0" w:type="dxa"/>
            <w:left w:w="30" w:type="dxa"/>
            <w:bottom w:w="0" w:type="dxa"/>
            <w:right w:w="30" w:type="dxa"/>
          </w:tblCellMar>
        </w:tblPrEx>
        <w:trPr>
          <w:trHeight w:val="292" w:hRule="atLeas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90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b/>
                <w:color w:val="auto"/>
                <w:sz w:val="21"/>
                <w:szCs w:val="21"/>
                <w:highlight w:val="none"/>
              </w:rPr>
            </w:pPr>
          </w:p>
        </w:tc>
      </w:tr>
    </w:tbl>
    <w:p>
      <w:pPr>
        <w:pStyle w:val="16"/>
        <w:spacing w:line="360" w:lineRule="auto"/>
        <w:rPr>
          <w:rFonts w:hint="eastAsia" w:ascii="宋体" w:hAnsi="宋体" w:eastAsia="宋体" w:cs="宋体"/>
          <w:color w:val="auto"/>
          <w:szCs w:val="21"/>
          <w:highlight w:val="none"/>
        </w:rPr>
      </w:pPr>
    </w:p>
    <w:p>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 如果单价和总价不符时，以单价为准，修正总价。</w:t>
      </w:r>
    </w:p>
    <w:p>
      <w:pPr>
        <w:pStyle w:val="1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投标人应列明按“用户需求书”所要求提供的全部货物的价格明细。</w:t>
      </w:r>
    </w:p>
    <w:p>
      <w:pPr>
        <w:pStyle w:val="1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投标人应列明按“用户需求书”所要求提供的专用安装及维护工具的价格明细（如果是免费提供或不需提供的）</w:t>
      </w:r>
    </w:p>
    <w:p>
      <w:pPr>
        <w:pStyle w:val="16"/>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（不需列出单价及金额，并在备注栏中说明）。</w:t>
      </w:r>
    </w:p>
    <w:p>
      <w:pPr>
        <w:pStyle w:val="16"/>
        <w:spacing w:line="360" w:lineRule="auto"/>
        <w:ind w:firstLine="735" w:firstLineChars="350"/>
        <w:rPr>
          <w:rFonts w:hint="eastAsia" w:ascii="宋体" w:hAnsi="宋体" w:eastAsia="宋体" w:cs="宋体"/>
          <w:color w:val="auto"/>
          <w:szCs w:val="21"/>
          <w:highlight w:val="none"/>
        </w:rPr>
      </w:pPr>
    </w:p>
    <w:p>
      <w:pPr>
        <w:tabs>
          <w:tab w:val="left" w:pos="676"/>
          <w:tab w:val="left" w:pos="2330"/>
          <w:tab w:val="left" w:pos="9230"/>
        </w:tabs>
        <w:autoSpaceDE w:val="0"/>
        <w:autoSpaceDN w:val="0"/>
        <w:adjustRightInd w:val="0"/>
        <w:spacing w:line="360" w:lineRule="auto"/>
        <w:ind w:firstLine="5145" w:firstLineChars="2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pPr>
        <w:tabs>
          <w:tab w:val="left" w:pos="676"/>
          <w:tab w:val="left" w:pos="2330"/>
          <w:tab w:val="left" w:pos="9230"/>
        </w:tabs>
        <w:autoSpaceDE w:val="0"/>
        <w:autoSpaceDN w:val="0"/>
        <w:adjustRightInd w:val="0"/>
        <w:spacing w:line="360" w:lineRule="auto"/>
        <w:ind w:firstLine="5145" w:firstLineChars="2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r>
        <w:rPr>
          <w:rFonts w:hint="eastAsia" w:ascii="宋体" w:hAnsi="宋体" w:cs="宋体"/>
          <w:color w:val="auto"/>
          <w:sz w:val="21"/>
          <w:szCs w:val="21"/>
          <w:highlight w:val="none"/>
          <w:lang w:eastAsia="zh-CN"/>
        </w:rPr>
        <w:t>签章</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sectPr>
      <w:pgSz w:w="11906" w:h="16838"/>
      <w:pgMar w:top="1134" w:right="1134" w:bottom="1134" w:left="1418" w:header="709"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szCs w:val="18"/>
      </w:rPr>
    </w:pPr>
    <w:r>
      <w:rPr>
        <w:rFonts w:hint="eastAsia"/>
        <w:sz w:val="20"/>
        <w:szCs w:val="21"/>
        <w:lang w:eastAsia="zh-CN"/>
      </w:rPr>
      <w:drawing>
        <wp:inline distT="0" distB="0" distL="114300" distR="114300">
          <wp:extent cx="257810" cy="189865"/>
          <wp:effectExtent l="0" t="0" r="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29376" t="16176" r="18913" b="33076"/>
                  <a:stretch>
                    <a:fillRect/>
                  </a:stretch>
                </pic:blipFill>
                <pic:spPr>
                  <a:xfrm>
                    <a:off x="0" y="0"/>
                    <a:ext cx="257810" cy="189865"/>
                  </a:xfrm>
                  <a:prstGeom prst="rect">
                    <a:avLst/>
                  </a:prstGeom>
                  <a:noFill/>
                  <a:ln>
                    <a:noFill/>
                  </a:ln>
                </pic:spPr>
              </pic:pic>
            </a:graphicData>
          </a:graphic>
        </wp:inline>
      </w:drawing>
    </w:r>
    <w:r>
      <w:rPr>
        <w:rFonts w:hint="eastAsia" w:ascii="宋体"/>
        <w:sz w:val="22"/>
        <w:szCs w:val="24"/>
        <w:lang w:eastAsia="zh-CN"/>
      </w:rPr>
      <w:t>罗定市泷洲招标代理有限公司</w:t>
    </w:r>
    <w:r>
      <w:t xml:space="preserve">  </w:t>
    </w:r>
    <w:r>
      <w:rPr>
        <w:rFonts w:hint="eastAsia" w:ascii="宋体" w:hAnsi="宋体" w:cs="宋体"/>
        <w:szCs w:val="18"/>
      </w:rPr>
      <w:t xml:space="preserve">     </w:t>
    </w:r>
    <w:r>
      <w:rPr>
        <w:rFonts w:hint="eastAsia" w:ascii="宋体" w:hAnsi="宋体" w:cs="宋体"/>
        <w:szCs w:val="18"/>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-95885</wp:posOffset>
              </wp:positionV>
              <wp:extent cx="5955030" cy="0"/>
              <wp:effectExtent l="0" t="0" r="0" b="0"/>
              <wp:wrapNone/>
              <wp:docPr id="2" name="AutoShape 2"/>
              <wp:cNvGraphicFramePr/>
              <a:graphic xmlns:a="http://schemas.openxmlformats.org/drawingml/2006/main">
                <a:graphicData uri="http://schemas.microsoft.com/office/word/2010/wordprocessingShape">
                  <wps:wsp>
                    <wps:cNvCnPr/>
                    <wps:spPr>
                      <a:xfrm>
                        <a:off x="0" y="0"/>
                        <a:ext cx="595503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margin-left:-9.55pt;margin-top:-7.55pt;height:0pt;width:468.9pt;z-index:251659264;mso-width-relative:page;mso-height-relative:page;" filled="f" stroked="t" coordsize="21600,21600" o:gfxdata="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dpUm1wAAAAsBAAAPAAAAAAAAAAEAIAAAACIAAABkcnMvZG93bnJldi54bWxQSwECFAAUAAAA&#10;CACHTuJAIRtjNu8BAAD6AwAADgAAAAAAAAABACAAAAAmAQAAZHJzL2Uyb0RvYy54bWxQSwUGAAAA&#10;AAYABgBZAQAAhwUAAAAA&#10;">
              <v:fill on="f" focussize="0,0"/>
              <v:stroke color="#000000" joinstyle="round"/>
              <v:imagedata o:title=""/>
              <o:lock v:ext="edit" aspectratio="f"/>
            </v:shape>
          </w:pict>
        </mc:Fallback>
      </mc:AlternateContent>
    </w:r>
    <w:r>
      <w:rPr>
        <w:rFonts w:hint="eastAsia"/>
      </w:rPr>
      <w:t xml:space="preserve">   </w:t>
    </w:r>
    <w:r>
      <w:rPr>
        <w:rFonts w:hint="eastAsia"/>
        <w:lang w:val="en-US" w:eastAsia="zh-CN"/>
      </w:rPr>
      <w:t xml:space="preserve">                     </w:t>
    </w:r>
    <w:r>
      <w:rPr>
        <w:rFonts w:hint="eastAsia"/>
      </w:rPr>
      <w:t xml:space="preserve">                             </w:t>
    </w:r>
    <w:r>
      <w:fldChar w:fldCharType="begin"/>
    </w:r>
    <w:r>
      <w:rPr>
        <w:rStyle w:val="36"/>
      </w:rPr>
      <w:instrText xml:space="preserve"> PAGE </w:instrText>
    </w:r>
    <w:r>
      <w:fldChar w:fldCharType="separate"/>
    </w:r>
    <w:r>
      <w:rPr>
        <w:rStyle w:val="36"/>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3</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szCs w:val="18"/>
      </w:rPr>
    </w:pPr>
    <w:r>
      <w:rPr>
        <w:rFonts w:hint="eastAsia"/>
        <w:sz w:val="20"/>
        <w:szCs w:val="21"/>
        <w:lang w:eastAsia="zh-CN"/>
      </w:rPr>
      <w:drawing>
        <wp:inline distT="0" distB="0" distL="114300" distR="114300">
          <wp:extent cx="257810" cy="189865"/>
          <wp:effectExtent l="0" t="0" r="0" b="635"/>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rcRect l="29376" t="16176" r="18913" b="33076"/>
                  <a:stretch>
                    <a:fillRect/>
                  </a:stretch>
                </pic:blipFill>
                <pic:spPr>
                  <a:xfrm>
                    <a:off x="0" y="0"/>
                    <a:ext cx="257810" cy="189865"/>
                  </a:xfrm>
                  <a:prstGeom prst="rect">
                    <a:avLst/>
                  </a:prstGeom>
                  <a:noFill/>
                  <a:ln>
                    <a:noFill/>
                  </a:ln>
                </pic:spPr>
              </pic:pic>
            </a:graphicData>
          </a:graphic>
        </wp:inline>
      </w:drawing>
    </w:r>
    <w:r>
      <w:rPr>
        <w:rFonts w:hint="eastAsia" w:ascii="宋体"/>
        <w:sz w:val="22"/>
        <w:szCs w:val="24"/>
        <w:lang w:eastAsia="zh-CN"/>
      </w:rPr>
      <w:t>罗定市泷洲招标代理有限公司</w:t>
    </w:r>
    <w:r>
      <w:t xml:space="preserve">  </w:t>
    </w:r>
    <w:r>
      <w:rPr>
        <w:rFonts w:hint="eastAsia" w:ascii="宋体" w:hAnsi="宋体" w:cs="宋体"/>
        <w:szCs w:val="18"/>
      </w:rPr>
      <w:t xml:space="preserve">     </w:t>
    </w:r>
    <w:r>
      <w:rPr>
        <w:rFonts w:hint="eastAsia" w:ascii="宋体" w:hAnsi="宋体" w:cs="宋体"/>
        <w:szCs w:val="18"/>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-95885</wp:posOffset>
              </wp:positionV>
              <wp:extent cx="5955030" cy="0"/>
              <wp:effectExtent l="0" t="0" r="0" b="0"/>
              <wp:wrapNone/>
              <wp:docPr id="8" name="AutoShape 2"/>
              <wp:cNvGraphicFramePr/>
              <a:graphic xmlns:a="http://schemas.openxmlformats.org/drawingml/2006/main">
                <a:graphicData uri="http://schemas.microsoft.com/office/word/2010/wordprocessingShape">
                  <wps:wsp>
                    <wps:cNvCnPr/>
                    <wps:spPr>
                      <a:xfrm>
                        <a:off x="0" y="0"/>
                        <a:ext cx="595503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margin-left:-9.55pt;margin-top:-7.55pt;height:0pt;width:468.9pt;z-index:251660288;mso-width-relative:page;mso-height-relative:page;" filled="f" stroked="t" coordsize="21600,21600" o:gfxdata="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dpUm1wAAAAsBAAAPAAAAAAAAAAEAIAAAACIAAABkcnMvZG93bnJldi54bWxQSwECFAAUAAAA&#10;CACHTuJAoxMuZe8BAAD6AwAADgAAAAAAAAABACAAAAAmAQAAZHJzL2Uyb0RvYy54bWxQSwUGAAAA&#10;AAYABgBZAQAAhwUAAAAA&#10;">
              <v:fill on="f" focussize="0,0"/>
              <v:stroke color="#000000" joinstyle="round"/>
              <v:imagedata o:title=""/>
              <o:lock v:ext="edit" aspectratio="f"/>
            </v:shape>
          </w:pict>
        </mc:Fallback>
      </mc:AlternateContent>
    </w:r>
    <w:r>
      <w:rPr>
        <w:rFonts w:hint="eastAsia"/>
      </w:rPr>
      <w:t xml:space="preserve">   </w:t>
    </w:r>
    <w:r>
      <w:rPr>
        <w:rFonts w:hint="eastAsia"/>
        <w:lang w:val="en-US" w:eastAsia="zh-CN"/>
      </w:rPr>
      <w:t xml:space="preserve">                     </w:t>
    </w:r>
    <w:r>
      <w:rPr>
        <w:rFonts w:hint="eastAsia"/>
      </w:rPr>
      <w:t xml:space="preserve">                             </w:t>
    </w:r>
    <w:r>
      <w:fldChar w:fldCharType="begin"/>
    </w:r>
    <w:r>
      <w:rPr>
        <w:rStyle w:val="36"/>
      </w:rPr>
      <w:instrText xml:space="preserve"> PAGE </w:instrText>
    </w:r>
    <w:r>
      <w:fldChar w:fldCharType="separate"/>
    </w:r>
    <w:r>
      <w:rPr>
        <w:rStyle w:val="36"/>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sz w:val="20"/>
        <w:szCs w:val="21"/>
        <w:lang w:eastAsia="zh-CN"/>
      </w:rPr>
      <w:drawing>
        <wp:inline distT="0" distB="0" distL="114300" distR="114300">
          <wp:extent cx="257810" cy="189865"/>
          <wp:effectExtent l="0" t="0" r="0" b="635"/>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pic:cNvPicPr>
                    <a:picLocks noChangeAspect="1"/>
                  </pic:cNvPicPr>
                </pic:nvPicPr>
                <pic:blipFill>
                  <a:blip r:embed="rId1"/>
                  <a:srcRect l="29376" t="16176" r="18913" b="33076"/>
                  <a:stretch>
                    <a:fillRect/>
                  </a:stretch>
                </pic:blipFill>
                <pic:spPr>
                  <a:xfrm>
                    <a:off x="0" y="0"/>
                    <a:ext cx="257810" cy="189865"/>
                  </a:xfrm>
                  <a:prstGeom prst="rect">
                    <a:avLst/>
                  </a:prstGeom>
                  <a:noFill/>
                  <a:ln>
                    <a:noFill/>
                  </a:ln>
                </pic:spPr>
              </pic:pic>
            </a:graphicData>
          </a:graphic>
        </wp:inline>
      </w:drawing>
    </w:r>
    <w:r>
      <w:rPr>
        <w:rFonts w:hint="eastAsia" w:ascii="宋体"/>
        <w:sz w:val="22"/>
        <w:szCs w:val="24"/>
        <w:lang w:eastAsia="zh-CN"/>
      </w:rPr>
      <w:t>罗定市泷洲招标代理有限公司</w:t>
    </w:r>
    <w:r>
      <w:t xml:space="preserve">  </w:t>
    </w:r>
    <w:r>
      <w:rPr>
        <w:rFonts w:hint="eastAsia" w:ascii="宋体" w:hAnsi="宋体" w:cs="宋体"/>
        <w:szCs w:val="18"/>
      </w:rPr>
      <w:t xml:space="preserve">     </w:t>
    </w:r>
    <w:r>
      <w:rPr>
        <w:rFonts w:hint="eastAsia" w:ascii="宋体" w:hAnsi="宋体" w:cs="宋体"/>
        <w:szCs w:val="18"/>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-95885</wp:posOffset>
              </wp:positionV>
              <wp:extent cx="5955030" cy="0"/>
              <wp:effectExtent l="0" t="0" r="0" b="0"/>
              <wp:wrapNone/>
              <wp:docPr id="10" name="AutoShape 2"/>
              <wp:cNvGraphicFramePr/>
              <a:graphic xmlns:a="http://schemas.openxmlformats.org/drawingml/2006/main">
                <a:graphicData uri="http://schemas.microsoft.com/office/word/2010/wordprocessingShape">
                  <wps:wsp>
                    <wps:cNvCnPr/>
                    <wps:spPr>
                      <a:xfrm>
                        <a:off x="0" y="0"/>
                        <a:ext cx="595503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margin-left:-9.55pt;margin-top:-7.55pt;height:0pt;width:468.9pt;z-index:251661312;mso-width-relative:page;mso-height-relative:page;" filled="f" stroked="t" coordsize="21600,21600" o:gfxdata="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dpUm1wAAAAsBAAAPAAAAAAAAAAEAIAAAACIAAABkcnMvZG93bnJldi54bWxQSwECFAAUAAAA&#10;CACHTuJAHt33Su8BAAD7AwAADgAAAAAAAAABACAAAAAmAQAAZHJzL2Uyb0RvYy54bWxQSwUGAAAA&#10;AAYABgBZAQAAhwUAAAAA&#10;">
              <v:fill on="f" focussize="0,0"/>
              <v:stroke color="#000000" joinstyle="round"/>
              <v:imagedata o:title=""/>
              <o:lock v:ext="edit" aspectratio="f"/>
            </v:shape>
          </w:pict>
        </mc:Fallback>
      </mc:AlternateContent>
    </w:r>
    <w:r>
      <w:rPr>
        <w:rFonts w:hint="eastAsia"/>
      </w:rPr>
      <w:t xml:space="preserve">   </w:t>
    </w:r>
    <w:r>
      <w:rPr>
        <w:rFonts w:hint="eastAsia"/>
        <w:lang w:val="en-US" w:eastAsia="zh-CN"/>
      </w:rPr>
      <w:t xml:space="preserve">                     </w:t>
    </w:r>
    <w:r>
      <w:rPr>
        <w:rFonts w:hint="eastAsia"/>
      </w:rPr>
      <w:t xml:space="preserve">                             </w:t>
    </w:r>
    <w:r>
      <w:fldChar w:fldCharType="begin"/>
    </w:r>
    <w:r>
      <w:rPr>
        <w:rStyle w:val="36"/>
      </w:rPr>
      <w:instrText xml:space="preserve"> PAGE </w:instrText>
    </w:r>
    <w:r>
      <w:fldChar w:fldCharType="separate"/>
    </w:r>
    <w:r>
      <w:rPr>
        <w:rStyle w:val="36"/>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fldChar w:fldCharType="begin"/>
    </w:r>
    <w:r>
      <w:rPr>
        <w:rStyle w:val="36"/>
      </w:rPr>
      <w:instrText xml:space="preserve">PAGE  </w:instrText>
    </w:r>
    <w:r>
      <w:fldChar w:fldCharType="separate"/>
    </w:r>
    <w:r>
      <w:rPr>
        <w:rStyle w:val="36"/>
      </w:rPr>
      <w:t>3</w:t>
    </w:r>
    <w:r>
      <w:fldChar w:fldCharType="end"/>
    </w:r>
  </w:p>
  <w:p>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E7DD"/>
    <w:multiLevelType w:val="singleLevel"/>
    <w:tmpl w:val="AF54E7DD"/>
    <w:lvl w:ilvl="0" w:tentative="0">
      <w:start w:val="1"/>
      <w:numFmt w:val="decimal"/>
      <w:lvlText w:val="%1."/>
      <w:lvlJc w:val="left"/>
      <w:pPr>
        <w:ind w:left="425" w:hanging="425"/>
      </w:pPr>
      <w:rPr>
        <w:rFonts w:hint="default" w:ascii="宋体" w:hAnsi="宋体" w:eastAsia="宋体" w:cs="宋体"/>
      </w:rPr>
    </w:lvl>
  </w:abstractNum>
  <w:abstractNum w:abstractNumId="1">
    <w:nsid w:val="C2346804"/>
    <w:multiLevelType w:val="singleLevel"/>
    <w:tmpl w:val="C2346804"/>
    <w:lvl w:ilvl="0" w:tentative="0">
      <w:start w:val="1"/>
      <w:numFmt w:val="decimal"/>
      <w:lvlText w:val="%1."/>
      <w:lvlJc w:val="left"/>
      <w:pPr>
        <w:ind w:left="425" w:hanging="425"/>
      </w:pPr>
      <w:rPr>
        <w:rFonts w:hint="default"/>
      </w:rPr>
    </w:lvl>
  </w:abstractNum>
  <w:abstractNum w:abstractNumId="2">
    <w:nsid w:val="DECD2732"/>
    <w:multiLevelType w:val="singleLevel"/>
    <w:tmpl w:val="DECD2732"/>
    <w:lvl w:ilvl="0" w:tentative="0">
      <w:start w:val="1"/>
      <w:numFmt w:val="decimal"/>
      <w:lvlText w:val="%1."/>
      <w:lvlJc w:val="left"/>
      <w:pPr>
        <w:ind w:left="425" w:hanging="425"/>
      </w:pPr>
      <w:rPr>
        <w:rFonts w:hint="default"/>
      </w:rPr>
    </w:lvl>
  </w:abstractNum>
  <w:abstractNum w:abstractNumId="3">
    <w:nsid w:val="E3DEC2DC"/>
    <w:multiLevelType w:val="singleLevel"/>
    <w:tmpl w:val="E3DEC2DC"/>
    <w:lvl w:ilvl="0" w:tentative="0">
      <w:start w:val="1"/>
      <w:numFmt w:val="decimal"/>
      <w:lvlText w:val="%1."/>
      <w:lvlJc w:val="left"/>
      <w:pPr>
        <w:tabs>
          <w:tab w:val="left" w:pos="312"/>
        </w:tabs>
      </w:pPr>
      <w:rPr>
        <w:rFonts w:hint="default"/>
        <w:b w:val="0"/>
        <w:bCs w:val="0"/>
      </w:rPr>
    </w:lvl>
  </w:abstractNum>
  <w:abstractNum w:abstractNumId="4">
    <w:nsid w:val="EBD9E6B4"/>
    <w:multiLevelType w:val="singleLevel"/>
    <w:tmpl w:val="EBD9E6B4"/>
    <w:lvl w:ilvl="0" w:tentative="0">
      <w:start w:val="1"/>
      <w:numFmt w:val="decimal"/>
      <w:suff w:val="space"/>
      <w:lvlText w:val="%1）"/>
      <w:lvlJc w:val="left"/>
      <w:pPr>
        <w:ind w:left="105" w:leftChars="0" w:firstLine="0" w:firstLineChars="0"/>
      </w:pPr>
    </w:lvl>
  </w:abstractNum>
  <w:abstractNum w:abstractNumId="5">
    <w:nsid w:val="FA281DB8"/>
    <w:multiLevelType w:val="singleLevel"/>
    <w:tmpl w:val="FA281DB8"/>
    <w:lvl w:ilvl="0" w:tentative="0">
      <w:start w:val="33"/>
      <w:numFmt w:val="decimal"/>
      <w:lvlText w:val="%1."/>
      <w:lvlJc w:val="left"/>
      <w:pPr>
        <w:tabs>
          <w:tab w:val="left" w:pos="312"/>
        </w:tabs>
      </w:pPr>
    </w:lvl>
  </w:abstractNum>
  <w:abstractNum w:abstractNumId="6">
    <w:nsid w:val="FD621A1D"/>
    <w:multiLevelType w:val="singleLevel"/>
    <w:tmpl w:val="FD621A1D"/>
    <w:lvl w:ilvl="0" w:tentative="0">
      <w:start w:val="1"/>
      <w:numFmt w:val="decimal"/>
      <w:lvlText w:val="%1."/>
      <w:lvlJc w:val="left"/>
      <w:pPr>
        <w:ind w:left="425" w:hanging="425"/>
      </w:pPr>
      <w:rPr>
        <w:rFonts w:hint="default"/>
      </w:rPr>
    </w:lvl>
  </w:abstractNum>
  <w:abstractNum w:abstractNumId="7">
    <w:nsid w:val="00000003"/>
    <w:multiLevelType w:val="multilevel"/>
    <w:tmpl w:val="00000003"/>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00000009"/>
    <w:multiLevelType w:val="multilevel"/>
    <w:tmpl w:val="00000009"/>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2394"/>
        </w:tabs>
        <w:ind w:left="-2394" w:hanging="420"/>
      </w:pPr>
    </w:lvl>
    <w:lvl w:ilvl="2" w:tentative="0">
      <w:start w:val="1"/>
      <w:numFmt w:val="lowerRoman"/>
      <w:lvlText w:val="%3."/>
      <w:lvlJc w:val="right"/>
      <w:pPr>
        <w:tabs>
          <w:tab w:val="left" w:pos="-1974"/>
        </w:tabs>
        <w:ind w:left="-1974" w:hanging="420"/>
      </w:pPr>
    </w:lvl>
    <w:lvl w:ilvl="3" w:tentative="0">
      <w:start w:val="1"/>
      <w:numFmt w:val="decimal"/>
      <w:lvlText w:val="%4."/>
      <w:lvlJc w:val="left"/>
      <w:pPr>
        <w:tabs>
          <w:tab w:val="left" w:pos="-1554"/>
        </w:tabs>
        <w:ind w:left="-1554" w:hanging="420"/>
      </w:pPr>
    </w:lvl>
    <w:lvl w:ilvl="4" w:tentative="0">
      <w:start w:val="1"/>
      <w:numFmt w:val="lowerLetter"/>
      <w:lvlText w:val="%5)"/>
      <w:lvlJc w:val="left"/>
      <w:pPr>
        <w:tabs>
          <w:tab w:val="left" w:pos="-1134"/>
        </w:tabs>
        <w:ind w:left="-1134" w:hanging="420"/>
      </w:pPr>
    </w:lvl>
    <w:lvl w:ilvl="5" w:tentative="0">
      <w:start w:val="1"/>
      <w:numFmt w:val="lowerRoman"/>
      <w:lvlText w:val="%6."/>
      <w:lvlJc w:val="right"/>
      <w:pPr>
        <w:tabs>
          <w:tab w:val="left" w:pos="-714"/>
        </w:tabs>
        <w:ind w:left="-714" w:hanging="420"/>
      </w:pPr>
    </w:lvl>
    <w:lvl w:ilvl="6" w:tentative="0">
      <w:start w:val="1"/>
      <w:numFmt w:val="decimal"/>
      <w:lvlText w:val="%7."/>
      <w:lvlJc w:val="left"/>
      <w:pPr>
        <w:tabs>
          <w:tab w:val="left" w:pos="-294"/>
        </w:tabs>
        <w:ind w:left="-294" w:hanging="420"/>
      </w:pPr>
    </w:lvl>
    <w:lvl w:ilvl="7" w:tentative="0">
      <w:start w:val="1"/>
      <w:numFmt w:val="lowerLetter"/>
      <w:lvlText w:val="%8)"/>
      <w:lvlJc w:val="left"/>
      <w:pPr>
        <w:tabs>
          <w:tab w:val="left" w:pos="126"/>
        </w:tabs>
        <w:ind w:left="126" w:hanging="420"/>
      </w:pPr>
    </w:lvl>
    <w:lvl w:ilvl="8" w:tentative="0">
      <w:start w:val="1"/>
      <w:numFmt w:val="lowerRoman"/>
      <w:lvlText w:val="%9."/>
      <w:lvlJc w:val="right"/>
      <w:pPr>
        <w:tabs>
          <w:tab w:val="left" w:pos="546"/>
        </w:tabs>
        <w:ind w:left="546" w:hanging="420"/>
      </w:pPr>
    </w:lvl>
  </w:abstractNum>
  <w:abstractNum w:abstractNumId="9">
    <w:nsid w:val="00060A29"/>
    <w:multiLevelType w:val="multilevel"/>
    <w:tmpl w:val="00060A2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E697AFE"/>
    <w:multiLevelType w:val="multilevel"/>
    <w:tmpl w:val="0E697AFE"/>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1">
    <w:nsid w:val="16557356"/>
    <w:multiLevelType w:val="multilevel"/>
    <w:tmpl w:val="16557356"/>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94C1F41"/>
    <w:multiLevelType w:val="multilevel"/>
    <w:tmpl w:val="194C1F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BE83E23"/>
    <w:multiLevelType w:val="multilevel"/>
    <w:tmpl w:val="1BE83E23"/>
    <w:lvl w:ilvl="0" w:tentative="0">
      <w:start w:val="1"/>
      <w:numFmt w:val="decimal"/>
      <w:lvlText w:val="%1．"/>
      <w:lvlJc w:val="left"/>
      <w:pPr>
        <w:tabs>
          <w:tab w:val="left" w:pos="360"/>
        </w:tabs>
        <w:ind w:left="360" w:hanging="360"/>
      </w:pPr>
      <w:rPr>
        <w:rFonts w:hint="default"/>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5770B5"/>
    <w:multiLevelType w:val="multilevel"/>
    <w:tmpl w:val="1C5770B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740E6E6"/>
    <w:multiLevelType w:val="multilevel"/>
    <w:tmpl w:val="2740E6E6"/>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2A75EE9"/>
    <w:multiLevelType w:val="multilevel"/>
    <w:tmpl w:val="32A75EE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8E12D0"/>
    <w:multiLevelType w:val="singleLevel"/>
    <w:tmpl w:val="398E12D0"/>
    <w:lvl w:ilvl="0" w:tentative="0">
      <w:start w:val="1"/>
      <w:numFmt w:val="decimal"/>
      <w:suff w:val="nothing"/>
      <w:lvlText w:val="%1．"/>
      <w:lvlJc w:val="left"/>
      <w:pPr>
        <w:ind w:left="0" w:firstLine="400"/>
      </w:pPr>
      <w:rPr>
        <w:rFonts w:hint="default"/>
      </w:rPr>
    </w:lvl>
  </w:abstractNum>
  <w:abstractNum w:abstractNumId="18">
    <w:nsid w:val="3C7109C9"/>
    <w:multiLevelType w:val="multilevel"/>
    <w:tmpl w:val="3C7109C9"/>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3B0B12"/>
    <w:multiLevelType w:val="multilevel"/>
    <w:tmpl w:val="4D3B0B12"/>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49F13F3"/>
    <w:multiLevelType w:val="multilevel"/>
    <w:tmpl w:val="549F13F3"/>
    <w:lvl w:ilvl="0" w:tentative="0">
      <w:start w:val="2"/>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4AB6610"/>
    <w:multiLevelType w:val="multilevel"/>
    <w:tmpl w:val="54AB6610"/>
    <w:lvl w:ilvl="0" w:tentative="0">
      <w:start w:val="1"/>
      <w:numFmt w:val="decimal"/>
      <w:lvlText w:val="%1."/>
      <w:lvlJc w:val="left"/>
      <w:pPr>
        <w:tabs>
          <w:tab w:val="left" w:pos="425"/>
        </w:tabs>
        <w:ind w:left="425" w:hanging="425"/>
      </w:pPr>
      <w:rPr>
        <w:rFonts w:hint="eastAsia"/>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76B4405"/>
    <w:multiLevelType w:val="singleLevel"/>
    <w:tmpl w:val="576B4405"/>
    <w:lvl w:ilvl="0" w:tentative="0">
      <w:start w:val="1"/>
      <w:numFmt w:val="decimal"/>
      <w:suff w:val="nothing"/>
      <w:lvlText w:val="（%1）"/>
      <w:lvlJc w:val="left"/>
    </w:lvl>
  </w:abstractNum>
  <w:abstractNum w:abstractNumId="23">
    <w:nsid w:val="5CF86EA8"/>
    <w:multiLevelType w:val="multilevel"/>
    <w:tmpl w:val="5CF86EA8"/>
    <w:lvl w:ilvl="0" w:tentative="0">
      <w:start w:val="1"/>
      <w:numFmt w:val="decimal"/>
      <w:lvlText w:val="%1."/>
      <w:lvlJc w:val="left"/>
      <w:pPr>
        <w:tabs>
          <w:tab w:val="left" w:pos="0"/>
        </w:tabs>
        <w:ind w:left="510" w:hanging="510"/>
      </w:pPr>
      <w:rPr>
        <w:rFonts w:hint="default"/>
      </w:rPr>
    </w:lvl>
    <w:lvl w:ilvl="1" w:tentative="0">
      <w:start w:val="1"/>
      <w:numFmt w:val="decimal"/>
      <w:lvlText w:val="%2."/>
      <w:lvlJc w:val="left"/>
      <w:pPr>
        <w:tabs>
          <w:tab w:val="left" w:pos="0"/>
        </w:tabs>
        <w:ind w:left="510" w:hanging="51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2F3574"/>
    <w:multiLevelType w:val="multilevel"/>
    <w:tmpl w:val="602F3574"/>
    <w:lvl w:ilvl="0" w:tentative="0">
      <w:start w:val="1"/>
      <w:numFmt w:val="decimal"/>
      <w:lvlText w:val="%1."/>
      <w:lvlJc w:val="left"/>
      <w:pPr>
        <w:tabs>
          <w:tab w:val="left" w:pos="840"/>
        </w:tabs>
        <w:ind w:left="135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2732F78"/>
    <w:multiLevelType w:val="multilevel"/>
    <w:tmpl w:val="62732F78"/>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6">
    <w:nsid w:val="64586285"/>
    <w:multiLevelType w:val="multilevel"/>
    <w:tmpl w:val="645862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D92341"/>
    <w:multiLevelType w:val="multilevel"/>
    <w:tmpl w:val="64D92341"/>
    <w:lvl w:ilvl="0" w:tentative="0">
      <w:start w:val="1"/>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6EE75524"/>
    <w:multiLevelType w:val="multilevel"/>
    <w:tmpl w:val="6EE75524"/>
    <w:lvl w:ilvl="0" w:tentative="0">
      <w:start w:val="2"/>
      <w:numFmt w:val="decimal"/>
      <w:lvlText w:val="%1."/>
      <w:lvlJc w:val="left"/>
      <w:pPr>
        <w:tabs>
          <w:tab w:val="left" w:pos="0"/>
        </w:tabs>
        <w:ind w:left="510" w:hanging="510"/>
      </w:pPr>
      <w:rPr>
        <w:rFonts w:hint="default"/>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0BC1AE5"/>
    <w:multiLevelType w:val="multilevel"/>
    <w:tmpl w:val="70BC1A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E34A86"/>
    <w:multiLevelType w:val="multilevel"/>
    <w:tmpl w:val="75E34A86"/>
    <w:lvl w:ilvl="0" w:tentative="0">
      <w:start w:val="1"/>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rPr>
    </w:lvl>
    <w:lvl w:ilvl="2" w:tentative="0">
      <w:start w:val="1"/>
      <w:numFmt w:val="decimal"/>
      <w:lvlText w:val="%1.%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num w:numId="1">
    <w:abstractNumId w:val="7"/>
  </w:num>
  <w:num w:numId="2">
    <w:abstractNumId w:val="22"/>
  </w:num>
  <w:num w:numId="3">
    <w:abstractNumId w:val="5"/>
  </w:num>
  <w:num w:numId="4">
    <w:abstractNumId w:val="14"/>
  </w:num>
  <w:num w:numId="5">
    <w:abstractNumId w:val="28"/>
  </w:num>
  <w:num w:numId="6">
    <w:abstractNumId w:val="20"/>
  </w:num>
  <w:num w:numId="7">
    <w:abstractNumId w:val="18"/>
  </w:num>
  <w:num w:numId="8">
    <w:abstractNumId w:val="15"/>
  </w:num>
  <w:num w:numId="9">
    <w:abstractNumId w:val="6"/>
  </w:num>
  <w:num w:numId="10">
    <w:abstractNumId w:val="25"/>
  </w:num>
  <w:num w:numId="11">
    <w:abstractNumId w:val="10"/>
  </w:num>
  <w:num w:numId="12">
    <w:abstractNumId w:val="27"/>
  </w:num>
  <w:num w:numId="13">
    <w:abstractNumId w:val="24"/>
  </w:num>
  <w:num w:numId="14">
    <w:abstractNumId w:val="30"/>
  </w:num>
  <w:num w:numId="15">
    <w:abstractNumId w:val="8"/>
  </w:num>
  <w:num w:numId="16">
    <w:abstractNumId w:val="9"/>
  </w:num>
  <w:num w:numId="17">
    <w:abstractNumId w:val="26"/>
  </w:num>
  <w:num w:numId="18">
    <w:abstractNumId w:val="11"/>
  </w:num>
  <w:num w:numId="19">
    <w:abstractNumId w:val="23"/>
  </w:num>
  <w:num w:numId="20">
    <w:abstractNumId w:val="21"/>
  </w:num>
  <w:num w:numId="21">
    <w:abstractNumId w:val="16"/>
  </w:num>
  <w:num w:numId="22">
    <w:abstractNumId w:val="19"/>
  </w:num>
  <w:num w:numId="23">
    <w:abstractNumId w:val="12"/>
  </w:num>
  <w:num w:numId="24">
    <w:abstractNumId w:val="13"/>
  </w:num>
  <w:num w:numId="25">
    <w:abstractNumId w:val="2"/>
  </w:num>
  <w:num w:numId="26">
    <w:abstractNumId w:val="17"/>
  </w:num>
  <w:num w:numId="27">
    <w:abstractNumId w:val="1"/>
  </w:num>
  <w:num w:numId="28">
    <w:abstractNumId w:val="3"/>
  </w:num>
  <w:num w:numId="29">
    <w:abstractNumId w:val="0"/>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F6"/>
    <w:rsid w:val="00010AAB"/>
    <w:rsid w:val="00025454"/>
    <w:rsid w:val="00030F61"/>
    <w:rsid w:val="0003740A"/>
    <w:rsid w:val="0004283E"/>
    <w:rsid w:val="00047254"/>
    <w:rsid w:val="000704E3"/>
    <w:rsid w:val="00071311"/>
    <w:rsid w:val="00073BC6"/>
    <w:rsid w:val="000827FB"/>
    <w:rsid w:val="00084914"/>
    <w:rsid w:val="00085D7A"/>
    <w:rsid w:val="0008604D"/>
    <w:rsid w:val="00090526"/>
    <w:rsid w:val="000B52C8"/>
    <w:rsid w:val="000B7CDC"/>
    <w:rsid w:val="000C29F1"/>
    <w:rsid w:val="000C3B1F"/>
    <w:rsid w:val="000D0C83"/>
    <w:rsid w:val="000E549D"/>
    <w:rsid w:val="00102E7A"/>
    <w:rsid w:val="0010472B"/>
    <w:rsid w:val="0010596E"/>
    <w:rsid w:val="00113E42"/>
    <w:rsid w:val="00115F6E"/>
    <w:rsid w:val="00117823"/>
    <w:rsid w:val="00133648"/>
    <w:rsid w:val="00135A59"/>
    <w:rsid w:val="00137092"/>
    <w:rsid w:val="0014045B"/>
    <w:rsid w:val="00160D81"/>
    <w:rsid w:val="00164E6A"/>
    <w:rsid w:val="00170196"/>
    <w:rsid w:val="00175C70"/>
    <w:rsid w:val="00184DF3"/>
    <w:rsid w:val="00193CE5"/>
    <w:rsid w:val="001A1336"/>
    <w:rsid w:val="001B287F"/>
    <w:rsid w:val="001C6A54"/>
    <w:rsid w:val="001E225F"/>
    <w:rsid w:val="001F08D4"/>
    <w:rsid w:val="001F170A"/>
    <w:rsid w:val="001F2BE3"/>
    <w:rsid w:val="001F624C"/>
    <w:rsid w:val="002112F3"/>
    <w:rsid w:val="00234B96"/>
    <w:rsid w:val="00237A5B"/>
    <w:rsid w:val="00242096"/>
    <w:rsid w:val="002506BF"/>
    <w:rsid w:val="0026050A"/>
    <w:rsid w:val="00262762"/>
    <w:rsid w:val="00267586"/>
    <w:rsid w:val="00273F45"/>
    <w:rsid w:val="002756BA"/>
    <w:rsid w:val="002761D4"/>
    <w:rsid w:val="00276970"/>
    <w:rsid w:val="00276B17"/>
    <w:rsid w:val="002822C4"/>
    <w:rsid w:val="00282508"/>
    <w:rsid w:val="00294DF3"/>
    <w:rsid w:val="002A3668"/>
    <w:rsid w:val="002A4F89"/>
    <w:rsid w:val="002B4907"/>
    <w:rsid w:val="002C12CF"/>
    <w:rsid w:val="002C199A"/>
    <w:rsid w:val="002C637F"/>
    <w:rsid w:val="002D7174"/>
    <w:rsid w:val="002F36AF"/>
    <w:rsid w:val="002F58E9"/>
    <w:rsid w:val="00302CB4"/>
    <w:rsid w:val="0030506F"/>
    <w:rsid w:val="003066C6"/>
    <w:rsid w:val="00310365"/>
    <w:rsid w:val="00322221"/>
    <w:rsid w:val="003327E4"/>
    <w:rsid w:val="003416FE"/>
    <w:rsid w:val="00356673"/>
    <w:rsid w:val="00357BDC"/>
    <w:rsid w:val="0036038D"/>
    <w:rsid w:val="00361728"/>
    <w:rsid w:val="00375EC5"/>
    <w:rsid w:val="00385060"/>
    <w:rsid w:val="00386A76"/>
    <w:rsid w:val="00386EC3"/>
    <w:rsid w:val="00393FB1"/>
    <w:rsid w:val="003947A9"/>
    <w:rsid w:val="003A36EB"/>
    <w:rsid w:val="003C7810"/>
    <w:rsid w:val="003D23AC"/>
    <w:rsid w:val="003D34CF"/>
    <w:rsid w:val="003D7378"/>
    <w:rsid w:val="003F1D92"/>
    <w:rsid w:val="003F70B7"/>
    <w:rsid w:val="00414EF0"/>
    <w:rsid w:val="0042547E"/>
    <w:rsid w:val="00452564"/>
    <w:rsid w:val="004611DE"/>
    <w:rsid w:val="004631E4"/>
    <w:rsid w:val="0047036D"/>
    <w:rsid w:val="00472BE8"/>
    <w:rsid w:val="0047531A"/>
    <w:rsid w:val="004766C4"/>
    <w:rsid w:val="00480083"/>
    <w:rsid w:val="004801C1"/>
    <w:rsid w:val="00485E3D"/>
    <w:rsid w:val="004B39DC"/>
    <w:rsid w:val="004D56BD"/>
    <w:rsid w:val="004E4D74"/>
    <w:rsid w:val="004E4EA7"/>
    <w:rsid w:val="004E6CE5"/>
    <w:rsid w:val="004F0455"/>
    <w:rsid w:val="00507360"/>
    <w:rsid w:val="005176B9"/>
    <w:rsid w:val="005208D1"/>
    <w:rsid w:val="00520C25"/>
    <w:rsid w:val="00525DF3"/>
    <w:rsid w:val="0052741A"/>
    <w:rsid w:val="005328F0"/>
    <w:rsid w:val="00540B5E"/>
    <w:rsid w:val="00541C34"/>
    <w:rsid w:val="00542908"/>
    <w:rsid w:val="0055600D"/>
    <w:rsid w:val="005654E8"/>
    <w:rsid w:val="005747F9"/>
    <w:rsid w:val="00577563"/>
    <w:rsid w:val="00582605"/>
    <w:rsid w:val="005858FA"/>
    <w:rsid w:val="00587AC6"/>
    <w:rsid w:val="005924F8"/>
    <w:rsid w:val="00594CC6"/>
    <w:rsid w:val="00597223"/>
    <w:rsid w:val="005A056B"/>
    <w:rsid w:val="005A0E63"/>
    <w:rsid w:val="005A7E68"/>
    <w:rsid w:val="005B087F"/>
    <w:rsid w:val="005B39E6"/>
    <w:rsid w:val="005D08B3"/>
    <w:rsid w:val="005D37AF"/>
    <w:rsid w:val="005D45F8"/>
    <w:rsid w:val="005D5DE8"/>
    <w:rsid w:val="005E77D7"/>
    <w:rsid w:val="005F35F7"/>
    <w:rsid w:val="005F3B01"/>
    <w:rsid w:val="00607893"/>
    <w:rsid w:val="006102CE"/>
    <w:rsid w:val="00612149"/>
    <w:rsid w:val="00617E98"/>
    <w:rsid w:val="00621BBB"/>
    <w:rsid w:val="0063115F"/>
    <w:rsid w:val="0063131A"/>
    <w:rsid w:val="0064790A"/>
    <w:rsid w:val="0065168D"/>
    <w:rsid w:val="00653C94"/>
    <w:rsid w:val="00656F46"/>
    <w:rsid w:val="00665D37"/>
    <w:rsid w:val="00666B7A"/>
    <w:rsid w:val="00667A4C"/>
    <w:rsid w:val="006725E0"/>
    <w:rsid w:val="00673D2B"/>
    <w:rsid w:val="0068205C"/>
    <w:rsid w:val="006856DE"/>
    <w:rsid w:val="00690074"/>
    <w:rsid w:val="006906DC"/>
    <w:rsid w:val="00692C65"/>
    <w:rsid w:val="00696947"/>
    <w:rsid w:val="006A5F17"/>
    <w:rsid w:val="006B216B"/>
    <w:rsid w:val="006B4838"/>
    <w:rsid w:val="006B5F62"/>
    <w:rsid w:val="006C11A3"/>
    <w:rsid w:val="006D584D"/>
    <w:rsid w:val="006F15C4"/>
    <w:rsid w:val="006F4F2C"/>
    <w:rsid w:val="00715B32"/>
    <w:rsid w:val="0072650E"/>
    <w:rsid w:val="00731075"/>
    <w:rsid w:val="00731AFB"/>
    <w:rsid w:val="007375F1"/>
    <w:rsid w:val="00742117"/>
    <w:rsid w:val="00750DB5"/>
    <w:rsid w:val="0075600E"/>
    <w:rsid w:val="007607A1"/>
    <w:rsid w:val="00762700"/>
    <w:rsid w:val="00762BA4"/>
    <w:rsid w:val="007939F3"/>
    <w:rsid w:val="00794759"/>
    <w:rsid w:val="0079484E"/>
    <w:rsid w:val="00794D38"/>
    <w:rsid w:val="00795E8B"/>
    <w:rsid w:val="007B6BD8"/>
    <w:rsid w:val="007C4EB2"/>
    <w:rsid w:val="007D4BC7"/>
    <w:rsid w:val="007D5867"/>
    <w:rsid w:val="007D73E8"/>
    <w:rsid w:val="007F2330"/>
    <w:rsid w:val="007F4DF0"/>
    <w:rsid w:val="007F54D4"/>
    <w:rsid w:val="00806D6F"/>
    <w:rsid w:val="00807806"/>
    <w:rsid w:val="008212A7"/>
    <w:rsid w:val="00822089"/>
    <w:rsid w:val="008254D3"/>
    <w:rsid w:val="0083434B"/>
    <w:rsid w:val="00871B2A"/>
    <w:rsid w:val="00872654"/>
    <w:rsid w:val="0088109D"/>
    <w:rsid w:val="0089202B"/>
    <w:rsid w:val="00895E33"/>
    <w:rsid w:val="00896D7A"/>
    <w:rsid w:val="008A0F27"/>
    <w:rsid w:val="008B1AFB"/>
    <w:rsid w:val="008C777A"/>
    <w:rsid w:val="008D0F05"/>
    <w:rsid w:val="008D13DD"/>
    <w:rsid w:val="008E04BB"/>
    <w:rsid w:val="008E6B0B"/>
    <w:rsid w:val="009102A5"/>
    <w:rsid w:val="0091243A"/>
    <w:rsid w:val="009253A1"/>
    <w:rsid w:val="0092636A"/>
    <w:rsid w:val="00927444"/>
    <w:rsid w:val="0093159E"/>
    <w:rsid w:val="00931B49"/>
    <w:rsid w:val="0093493A"/>
    <w:rsid w:val="00940000"/>
    <w:rsid w:val="009426E3"/>
    <w:rsid w:val="00955EC7"/>
    <w:rsid w:val="0095603B"/>
    <w:rsid w:val="00967886"/>
    <w:rsid w:val="00990F98"/>
    <w:rsid w:val="0099450E"/>
    <w:rsid w:val="00994589"/>
    <w:rsid w:val="00995E7C"/>
    <w:rsid w:val="009A34FB"/>
    <w:rsid w:val="009B0B1A"/>
    <w:rsid w:val="009B1807"/>
    <w:rsid w:val="009C33BB"/>
    <w:rsid w:val="009C7274"/>
    <w:rsid w:val="009D5802"/>
    <w:rsid w:val="009E1A4D"/>
    <w:rsid w:val="009E1BE3"/>
    <w:rsid w:val="009E6DA4"/>
    <w:rsid w:val="00A00CA3"/>
    <w:rsid w:val="00A057CA"/>
    <w:rsid w:val="00A225A5"/>
    <w:rsid w:val="00A25C2E"/>
    <w:rsid w:val="00A27AF4"/>
    <w:rsid w:val="00A430FB"/>
    <w:rsid w:val="00A510AD"/>
    <w:rsid w:val="00A60370"/>
    <w:rsid w:val="00A6433A"/>
    <w:rsid w:val="00A64BD8"/>
    <w:rsid w:val="00A66E49"/>
    <w:rsid w:val="00A67180"/>
    <w:rsid w:val="00A67BE3"/>
    <w:rsid w:val="00A86E1F"/>
    <w:rsid w:val="00AB0BFC"/>
    <w:rsid w:val="00AC11DE"/>
    <w:rsid w:val="00AC2660"/>
    <w:rsid w:val="00AC37EE"/>
    <w:rsid w:val="00AD3FC1"/>
    <w:rsid w:val="00AE19F1"/>
    <w:rsid w:val="00AE2342"/>
    <w:rsid w:val="00AE7A0C"/>
    <w:rsid w:val="00B00FF4"/>
    <w:rsid w:val="00B072E8"/>
    <w:rsid w:val="00B2036D"/>
    <w:rsid w:val="00B2139D"/>
    <w:rsid w:val="00B2235F"/>
    <w:rsid w:val="00B43483"/>
    <w:rsid w:val="00B549F2"/>
    <w:rsid w:val="00B642DD"/>
    <w:rsid w:val="00B779E6"/>
    <w:rsid w:val="00B92451"/>
    <w:rsid w:val="00B95DE3"/>
    <w:rsid w:val="00BB126A"/>
    <w:rsid w:val="00BB5EEC"/>
    <w:rsid w:val="00BC4022"/>
    <w:rsid w:val="00BD12FE"/>
    <w:rsid w:val="00BD1474"/>
    <w:rsid w:val="00BD2B57"/>
    <w:rsid w:val="00BE1650"/>
    <w:rsid w:val="00BF2065"/>
    <w:rsid w:val="00BF47A9"/>
    <w:rsid w:val="00BF54CD"/>
    <w:rsid w:val="00BF5F17"/>
    <w:rsid w:val="00BF66CF"/>
    <w:rsid w:val="00C01B12"/>
    <w:rsid w:val="00C01C9F"/>
    <w:rsid w:val="00C13879"/>
    <w:rsid w:val="00C1631B"/>
    <w:rsid w:val="00C17A20"/>
    <w:rsid w:val="00C21422"/>
    <w:rsid w:val="00C21BF1"/>
    <w:rsid w:val="00C30AFA"/>
    <w:rsid w:val="00C349A9"/>
    <w:rsid w:val="00C40B04"/>
    <w:rsid w:val="00C40E4E"/>
    <w:rsid w:val="00C56D99"/>
    <w:rsid w:val="00C7445B"/>
    <w:rsid w:val="00C74927"/>
    <w:rsid w:val="00C7519D"/>
    <w:rsid w:val="00C83DB9"/>
    <w:rsid w:val="00C8608F"/>
    <w:rsid w:val="00C8756B"/>
    <w:rsid w:val="00CA4B5B"/>
    <w:rsid w:val="00CB0731"/>
    <w:rsid w:val="00CB642F"/>
    <w:rsid w:val="00CC6387"/>
    <w:rsid w:val="00CD0413"/>
    <w:rsid w:val="00CD0C87"/>
    <w:rsid w:val="00CD1DC9"/>
    <w:rsid w:val="00CD43BA"/>
    <w:rsid w:val="00CE046E"/>
    <w:rsid w:val="00CE5F9E"/>
    <w:rsid w:val="00CF11CD"/>
    <w:rsid w:val="00CF7261"/>
    <w:rsid w:val="00D0382E"/>
    <w:rsid w:val="00D17E47"/>
    <w:rsid w:val="00D2178C"/>
    <w:rsid w:val="00D22B32"/>
    <w:rsid w:val="00D37296"/>
    <w:rsid w:val="00D44D65"/>
    <w:rsid w:val="00D52A89"/>
    <w:rsid w:val="00D67643"/>
    <w:rsid w:val="00D67A63"/>
    <w:rsid w:val="00D90062"/>
    <w:rsid w:val="00D94C59"/>
    <w:rsid w:val="00DA4C67"/>
    <w:rsid w:val="00DB4FC4"/>
    <w:rsid w:val="00DD378B"/>
    <w:rsid w:val="00DF2400"/>
    <w:rsid w:val="00E058EA"/>
    <w:rsid w:val="00E061AA"/>
    <w:rsid w:val="00E10163"/>
    <w:rsid w:val="00E12D53"/>
    <w:rsid w:val="00E13F5E"/>
    <w:rsid w:val="00E142F1"/>
    <w:rsid w:val="00E1717F"/>
    <w:rsid w:val="00E17B26"/>
    <w:rsid w:val="00E24B6D"/>
    <w:rsid w:val="00E325E6"/>
    <w:rsid w:val="00E36C48"/>
    <w:rsid w:val="00E46E85"/>
    <w:rsid w:val="00E52BA1"/>
    <w:rsid w:val="00E53D7E"/>
    <w:rsid w:val="00E5777D"/>
    <w:rsid w:val="00E60CFE"/>
    <w:rsid w:val="00E6601E"/>
    <w:rsid w:val="00E742D1"/>
    <w:rsid w:val="00E744D1"/>
    <w:rsid w:val="00E762EA"/>
    <w:rsid w:val="00E771D7"/>
    <w:rsid w:val="00E81FEC"/>
    <w:rsid w:val="00E86CC9"/>
    <w:rsid w:val="00E92681"/>
    <w:rsid w:val="00E92DF1"/>
    <w:rsid w:val="00E9390F"/>
    <w:rsid w:val="00E95767"/>
    <w:rsid w:val="00EA43C9"/>
    <w:rsid w:val="00EC0120"/>
    <w:rsid w:val="00EC04AD"/>
    <w:rsid w:val="00ED59D7"/>
    <w:rsid w:val="00EE1F2B"/>
    <w:rsid w:val="00EE37EA"/>
    <w:rsid w:val="00EE5052"/>
    <w:rsid w:val="00EE702A"/>
    <w:rsid w:val="00EF0D70"/>
    <w:rsid w:val="00EF16FE"/>
    <w:rsid w:val="00F00C8D"/>
    <w:rsid w:val="00F118DB"/>
    <w:rsid w:val="00F1658E"/>
    <w:rsid w:val="00F23C1A"/>
    <w:rsid w:val="00F256FC"/>
    <w:rsid w:val="00F26BD1"/>
    <w:rsid w:val="00F316EB"/>
    <w:rsid w:val="00F35289"/>
    <w:rsid w:val="00F35C71"/>
    <w:rsid w:val="00F36652"/>
    <w:rsid w:val="00F54697"/>
    <w:rsid w:val="00F578B6"/>
    <w:rsid w:val="00F652DD"/>
    <w:rsid w:val="00F72E41"/>
    <w:rsid w:val="00F96A99"/>
    <w:rsid w:val="00F9775D"/>
    <w:rsid w:val="00FA0903"/>
    <w:rsid w:val="00FB2F74"/>
    <w:rsid w:val="00FC6363"/>
    <w:rsid w:val="00FC6818"/>
    <w:rsid w:val="00FF1FA8"/>
    <w:rsid w:val="00FF2DE2"/>
    <w:rsid w:val="00FF6E8F"/>
    <w:rsid w:val="015D0542"/>
    <w:rsid w:val="02902647"/>
    <w:rsid w:val="02AA38E5"/>
    <w:rsid w:val="02C37D5A"/>
    <w:rsid w:val="02C5717B"/>
    <w:rsid w:val="02FE5CEE"/>
    <w:rsid w:val="03923B01"/>
    <w:rsid w:val="03DD56EB"/>
    <w:rsid w:val="03FA0D55"/>
    <w:rsid w:val="04D854C1"/>
    <w:rsid w:val="05AE377F"/>
    <w:rsid w:val="05CF00BA"/>
    <w:rsid w:val="062279BA"/>
    <w:rsid w:val="067F5327"/>
    <w:rsid w:val="07110165"/>
    <w:rsid w:val="081744E9"/>
    <w:rsid w:val="081D5CE3"/>
    <w:rsid w:val="0969373C"/>
    <w:rsid w:val="09B1522A"/>
    <w:rsid w:val="0A394C51"/>
    <w:rsid w:val="0A482EEB"/>
    <w:rsid w:val="0A8F3119"/>
    <w:rsid w:val="0AAC2C0F"/>
    <w:rsid w:val="0ACD68B9"/>
    <w:rsid w:val="0AEF33C4"/>
    <w:rsid w:val="0B1045AD"/>
    <w:rsid w:val="0B21532C"/>
    <w:rsid w:val="0B37442A"/>
    <w:rsid w:val="0BA0276F"/>
    <w:rsid w:val="0BAF03C1"/>
    <w:rsid w:val="0BB1212E"/>
    <w:rsid w:val="0BDC1076"/>
    <w:rsid w:val="0C144DA4"/>
    <w:rsid w:val="0C204D8D"/>
    <w:rsid w:val="0C4D505E"/>
    <w:rsid w:val="0C5625FA"/>
    <w:rsid w:val="0D546AA5"/>
    <w:rsid w:val="0D755356"/>
    <w:rsid w:val="0D9751A7"/>
    <w:rsid w:val="0DA07A3C"/>
    <w:rsid w:val="0DB84895"/>
    <w:rsid w:val="0E0129E4"/>
    <w:rsid w:val="0E4C7A4B"/>
    <w:rsid w:val="0E840D22"/>
    <w:rsid w:val="0EB04616"/>
    <w:rsid w:val="0F2509CD"/>
    <w:rsid w:val="0F26568A"/>
    <w:rsid w:val="0F312C7C"/>
    <w:rsid w:val="0F667A49"/>
    <w:rsid w:val="0FA029B2"/>
    <w:rsid w:val="10040B70"/>
    <w:rsid w:val="10867DD7"/>
    <w:rsid w:val="11AE54A0"/>
    <w:rsid w:val="11C56D77"/>
    <w:rsid w:val="11E1085E"/>
    <w:rsid w:val="128E5B41"/>
    <w:rsid w:val="13030C35"/>
    <w:rsid w:val="13380A30"/>
    <w:rsid w:val="141C459A"/>
    <w:rsid w:val="142F2A81"/>
    <w:rsid w:val="1486122F"/>
    <w:rsid w:val="14947164"/>
    <w:rsid w:val="14C045F2"/>
    <w:rsid w:val="15494EDF"/>
    <w:rsid w:val="1553250E"/>
    <w:rsid w:val="15810E23"/>
    <w:rsid w:val="15AA4CD1"/>
    <w:rsid w:val="165E1F64"/>
    <w:rsid w:val="165F230C"/>
    <w:rsid w:val="166F312E"/>
    <w:rsid w:val="16783E9A"/>
    <w:rsid w:val="16BA5B6C"/>
    <w:rsid w:val="17082F9E"/>
    <w:rsid w:val="172947EC"/>
    <w:rsid w:val="176C5220"/>
    <w:rsid w:val="17A45A96"/>
    <w:rsid w:val="17AD3F30"/>
    <w:rsid w:val="17EB211C"/>
    <w:rsid w:val="19556332"/>
    <w:rsid w:val="195F28F4"/>
    <w:rsid w:val="197769B6"/>
    <w:rsid w:val="19AC2FEA"/>
    <w:rsid w:val="19BD2029"/>
    <w:rsid w:val="1A870DE6"/>
    <w:rsid w:val="1A9E58EA"/>
    <w:rsid w:val="1B4272C8"/>
    <w:rsid w:val="1B645BAF"/>
    <w:rsid w:val="1BB84793"/>
    <w:rsid w:val="1BCD110E"/>
    <w:rsid w:val="1C2E474D"/>
    <w:rsid w:val="1C477673"/>
    <w:rsid w:val="1C6D6AF2"/>
    <w:rsid w:val="1E1D400A"/>
    <w:rsid w:val="1EC84A70"/>
    <w:rsid w:val="1F337947"/>
    <w:rsid w:val="1F771B31"/>
    <w:rsid w:val="1FC2792A"/>
    <w:rsid w:val="211102DA"/>
    <w:rsid w:val="21BE7E69"/>
    <w:rsid w:val="22471971"/>
    <w:rsid w:val="236D5622"/>
    <w:rsid w:val="23E01564"/>
    <w:rsid w:val="24404E85"/>
    <w:rsid w:val="247C233C"/>
    <w:rsid w:val="24955CEC"/>
    <w:rsid w:val="24B57E36"/>
    <w:rsid w:val="250F3167"/>
    <w:rsid w:val="25591AF2"/>
    <w:rsid w:val="25AE4A19"/>
    <w:rsid w:val="25C57538"/>
    <w:rsid w:val="25C67FE8"/>
    <w:rsid w:val="25CC4542"/>
    <w:rsid w:val="25DB17A0"/>
    <w:rsid w:val="265C2E09"/>
    <w:rsid w:val="26CC0B42"/>
    <w:rsid w:val="271D2716"/>
    <w:rsid w:val="27A35117"/>
    <w:rsid w:val="27B97CEF"/>
    <w:rsid w:val="27F17D84"/>
    <w:rsid w:val="28386575"/>
    <w:rsid w:val="28467DB1"/>
    <w:rsid w:val="284D0703"/>
    <w:rsid w:val="28520B5D"/>
    <w:rsid w:val="295F587E"/>
    <w:rsid w:val="29760D8C"/>
    <w:rsid w:val="29D60CAE"/>
    <w:rsid w:val="2A395812"/>
    <w:rsid w:val="2A844D03"/>
    <w:rsid w:val="2C534C86"/>
    <w:rsid w:val="2C5505BB"/>
    <w:rsid w:val="2CA47DEC"/>
    <w:rsid w:val="2CC36BCF"/>
    <w:rsid w:val="2CC36EAB"/>
    <w:rsid w:val="2D393EA2"/>
    <w:rsid w:val="2E3C06DE"/>
    <w:rsid w:val="2E7137F6"/>
    <w:rsid w:val="2FCD0D30"/>
    <w:rsid w:val="2FDF3114"/>
    <w:rsid w:val="2FF54A3C"/>
    <w:rsid w:val="305A6794"/>
    <w:rsid w:val="318E11B4"/>
    <w:rsid w:val="31AD73CF"/>
    <w:rsid w:val="325624AD"/>
    <w:rsid w:val="326C6BF5"/>
    <w:rsid w:val="327360A8"/>
    <w:rsid w:val="32837DFA"/>
    <w:rsid w:val="339A0BEB"/>
    <w:rsid w:val="33E47A81"/>
    <w:rsid w:val="340D4A19"/>
    <w:rsid w:val="342951DD"/>
    <w:rsid w:val="34C920A3"/>
    <w:rsid w:val="35012426"/>
    <w:rsid w:val="35172671"/>
    <w:rsid w:val="35451F0F"/>
    <w:rsid w:val="358E1258"/>
    <w:rsid w:val="36711C6B"/>
    <w:rsid w:val="36971C85"/>
    <w:rsid w:val="37C27CB5"/>
    <w:rsid w:val="38635D08"/>
    <w:rsid w:val="38B464A8"/>
    <w:rsid w:val="390632F0"/>
    <w:rsid w:val="397D5E88"/>
    <w:rsid w:val="3A1D02E4"/>
    <w:rsid w:val="3AB02A97"/>
    <w:rsid w:val="3AE44AC5"/>
    <w:rsid w:val="3B4A0B40"/>
    <w:rsid w:val="3B4F195B"/>
    <w:rsid w:val="3DCD094A"/>
    <w:rsid w:val="3DD20B15"/>
    <w:rsid w:val="3E1358D5"/>
    <w:rsid w:val="3E186152"/>
    <w:rsid w:val="3EB81A6C"/>
    <w:rsid w:val="3F636EAA"/>
    <w:rsid w:val="410E5380"/>
    <w:rsid w:val="41311E3A"/>
    <w:rsid w:val="416E22E5"/>
    <w:rsid w:val="42753E3E"/>
    <w:rsid w:val="427B0444"/>
    <w:rsid w:val="42EA4BD5"/>
    <w:rsid w:val="42F27D2A"/>
    <w:rsid w:val="432D2A5D"/>
    <w:rsid w:val="435B0C96"/>
    <w:rsid w:val="44170D63"/>
    <w:rsid w:val="443F79D0"/>
    <w:rsid w:val="44BC7BE2"/>
    <w:rsid w:val="44C6623D"/>
    <w:rsid w:val="44DE7435"/>
    <w:rsid w:val="451A06ED"/>
    <w:rsid w:val="455F442B"/>
    <w:rsid w:val="45710A9F"/>
    <w:rsid w:val="4593715C"/>
    <w:rsid w:val="45C161AD"/>
    <w:rsid w:val="467E0CC5"/>
    <w:rsid w:val="467F3FAF"/>
    <w:rsid w:val="469A36B3"/>
    <w:rsid w:val="46C0736F"/>
    <w:rsid w:val="470262AB"/>
    <w:rsid w:val="472A0548"/>
    <w:rsid w:val="482C5BB4"/>
    <w:rsid w:val="486D6E49"/>
    <w:rsid w:val="489F3619"/>
    <w:rsid w:val="492B2146"/>
    <w:rsid w:val="492C79AD"/>
    <w:rsid w:val="494B22F2"/>
    <w:rsid w:val="495228F0"/>
    <w:rsid w:val="49A5719D"/>
    <w:rsid w:val="49D24B75"/>
    <w:rsid w:val="49F46361"/>
    <w:rsid w:val="4A015B06"/>
    <w:rsid w:val="4A5465DF"/>
    <w:rsid w:val="4AEA4563"/>
    <w:rsid w:val="4B0B39A3"/>
    <w:rsid w:val="4B5E7A28"/>
    <w:rsid w:val="4C207BF0"/>
    <w:rsid w:val="4CA06B93"/>
    <w:rsid w:val="4CD87EB1"/>
    <w:rsid w:val="4D143EDD"/>
    <w:rsid w:val="4D1705D3"/>
    <w:rsid w:val="4D6345C4"/>
    <w:rsid w:val="4D702717"/>
    <w:rsid w:val="4E095F6B"/>
    <w:rsid w:val="4E870059"/>
    <w:rsid w:val="4EE3375B"/>
    <w:rsid w:val="4F2D7873"/>
    <w:rsid w:val="4F351B56"/>
    <w:rsid w:val="4F47403A"/>
    <w:rsid w:val="4F56714F"/>
    <w:rsid w:val="503A259D"/>
    <w:rsid w:val="505478CA"/>
    <w:rsid w:val="5067158A"/>
    <w:rsid w:val="509341C9"/>
    <w:rsid w:val="50C977E3"/>
    <w:rsid w:val="50E072A9"/>
    <w:rsid w:val="52980E25"/>
    <w:rsid w:val="533E3DB7"/>
    <w:rsid w:val="53C92409"/>
    <w:rsid w:val="53CE248C"/>
    <w:rsid w:val="545224F2"/>
    <w:rsid w:val="547253F0"/>
    <w:rsid w:val="5506666C"/>
    <w:rsid w:val="55173AE4"/>
    <w:rsid w:val="55341B31"/>
    <w:rsid w:val="556F0514"/>
    <w:rsid w:val="56FA7EB0"/>
    <w:rsid w:val="5744373D"/>
    <w:rsid w:val="581E1A73"/>
    <w:rsid w:val="58A837F3"/>
    <w:rsid w:val="58CF4F30"/>
    <w:rsid w:val="58D263C5"/>
    <w:rsid w:val="59BE51DA"/>
    <w:rsid w:val="5AEE0EB0"/>
    <w:rsid w:val="5B411C6F"/>
    <w:rsid w:val="5B934610"/>
    <w:rsid w:val="5C504493"/>
    <w:rsid w:val="5C830E98"/>
    <w:rsid w:val="5CA76B4D"/>
    <w:rsid w:val="5D837F12"/>
    <w:rsid w:val="5DBB258E"/>
    <w:rsid w:val="5DCB54F9"/>
    <w:rsid w:val="5DCD12CD"/>
    <w:rsid w:val="5E0D1917"/>
    <w:rsid w:val="5E4C1C09"/>
    <w:rsid w:val="5E706AC8"/>
    <w:rsid w:val="5F9C700E"/>
    <w:rsid w:val="60450724"/>
    <w:rsid w:val="60677735"/>
    <w:rsid w:val="608C5AA1"/>
    <w:rsid w:val="60B707B9"/>
    <w:rsid w:val="61335C16"/>
    <w:rsid w:val="61451BC9"/>
    <w:rsid w:val="61A172B3"/>
    <w:rsid w:val="61A94DE0"/>
    <w:rsid w:val="621B0081"/>
    <w:rsid w:val="62611CCA"/>
    <w:rsid w:val="642D56A5"/>
    <w:rsid w:val="646B1B61"/>
    <w:rsid w:val="647B1507"/>
    <w:rsid w:val="64BF14AF"/>
    <w:rsid w:val="65D54A5D"/>
    <w:rsid w:val="660C51AE"/>
    <w:rsid w:val="66123EA5"/>
    <w:rsid w:val="667D06CE"/>
    <w:rsid w:val="669A53EF"/>
    <w:rsid w:val="66E1016E"/>
    <w:rsid w:val="672652C9"/>
    <w:rsid w:val="67AC07C1"/>
    <w:rsid w:val="684B31B3"/>
    <w:rsid w:val="685E1B28"/>
    <w:rsid w:val="685F2F0D"/>
    <w:rsid w:val="68F83F37"/>
    <w:rsid w:val="692F2F1B"/>
    <w:rsid w:val="693A41CA"/>
    <w:rsid w:val="69AA1A66"/>
    <w:rsid w:val="69D825EA"/>
    <w:rsid w:val="69ED146F"/>
    <w:rsid w:val="69EF0133"/>
    <w:rsid w:val="69FC5DE3"/>
    <w:rsid w:val="6A715350"/>
    <w:rsid w:val="6A9349F4"/>
    <w:rsid w:val="6BEE5C26"/>
    <w:rsid w:val="6BEF6A5C"/>
    <w:rsid w:val="6C481435"/>
    <w:rsid w:val="6D543187"/>
    <w:rsid w:val="6D786353"/>
    <w:rsid w:val="6E900D45"/>
    <w:rsid w:val="6ED50C07"/>
    <w:rsid w:val="6EFD4DE0"/>
    <w:rsid w:val="6F9415CC"/>
    <w:rsid w:val="700E4B1F"/>
    <w:rsid w:val="706A6FB3"/>
    <w:rsid w:val="70DA6C8C"/>
    <w:rsid w:val="70E20C2B"/>
    <w:rsid w:val="70F4046E"/>
    <w:rsid w:val="71640250"/>
    <w:rsid w:val="71EE41C8"/>
    <w:rsid w:val="7205269A"/>
    <w:rsid w:val="72C57009"/>
    <w:rsid w:val="72F03BBA"/>
    <w:rsid w:val="72F36FA5"/>
    <w:rsid w:val="73201033"/>
    <w:rsid w:val="745A04A0"/>
    <w:rsid w:val="74642129"/>
    <w:rsid w:val="74686B07"/>
    <w:rsid w:val="748D46C9"/>
    <w:rsid w:val="75CC11C3"/>
    <w:rsid w:val="75DB40D2"/>
    <w:rsid w:val="75FC6F1D"/>
    <w:rsid w:val="764D39C3"/>
    <w:rsid w:val="76542E2F"/>
    <w:rsid w:val="76D24C29"/>
    <w:rsid w:val="77F07BAD"/>
    <w:rsid w:val="781F11A1"/>
    <w:rsid w:val="786004B8"/>
    <w:rsid w:val="78A118F9"/>
    <w:rsid w:val="795C4CB3"/>
    <w:rsid w:val="79964206"/>
    <w:rsid w:val="7A3B6018"/>
    <w:rsid w:val="7A621821"/>
    <w:rsid w:val="7BEA6C58"/>
    <w:rsid w:val="7C855534"/>
    <w:rsid w:val="7CA85B7F"/>
    <w:rsid w:val="7CC61FC9"/>
    <w:rsid w:val="7E6C6CF7"/>
    <w:rsid w:val="7EBC1577"/>
    <w:rsid w:val="7F1B5858"/>
    <w:rsid w:val="7F7C19EA"/>
    <w:rsid w:val="7F905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jc w:val="center"/>
      <w:outlineLvl w:val="0"/>
    </w:pPr>
    <w:rPr>
      <w:rFonts w:ascii="黑体" w:eastAsia="黑体"/>
      <w:sz w:val="52"/>
    </w:rPr>
  </w:style>
  <w:style w:type="paragraph" w:styleId="4">
    <w:name w:val="heading 2"/>
    <w:basedOn w:val="1"/>
    <w:next w:val="1"/>
    <w:qFormat/>
    <w:uiPriority w:val="0"/>
    <w:pPr>
      <w:keepNext/>
      <w:keepLines/>
      <w:tabs>
        <w:tab w:val="left" w:pos="450"/>
        <w:tab w:val="center" w:pos="4677"/>
      </w:tabs>
      <w:spacing w:before="260" w:beforeLines="0" w:after="260" w:afterLines="0" w:line="415" w:lineRule="auto"/>
      <w:jc w:val="center"/>
      <w:outlineLvl w:val="1"/>
    </w:pPr>
    <w:rPr>
      <w:rFonts w:ascii="宋体" w:hAnsi="宋体"/>
      <w:b/>
      <w:sz w:val="44"/>
      <w:szCs w:val="44"/>
    </w:rPr>
  </w:style>
  <w:style w:type="paragraph" w:styleId="5">
    <w:name w:val="heading 3"/>
    <w:basedOn w:val="1"/>
    <w:next w:val="1"/>
    <w:qFormat/>
    <w:uiPriority w:val="0"/>
    <w:pPr>
      <w:keepNext/>
      <w:keepLines/>
      <w:numPr>
        <w:ilvl w:val="2"/>
        <w:numId w:val="1"/>
      </w:numPr>
      <w:spacing w:before="120" w:beforeLines="0" w:after="120" w:afterLines="0" w:line="360" w:lineRule="auto"/>
      <w:jc w:val="center"/>
      <w:outlineLvl w:val="2"/>
    </w:pPr>
    <w:rPr>
      <w:b/>
      <w:sz w:val="32"/>
    </w:rPr>
  </w:style>
  <w:style w:type="paragraph" w:styleId="6">
    <w:name w:val="heading 4"/>
    <w:basedOn w:val="1"/>
    <w:next w:val="1"/>
    <w:qFormat/>
    <w:uiPriority w:val="0"/>
    <w:pPr>
      <w:keepNext/>
      <w:keepLines/>
      <w:spacing w:before="120" w:beforeLines="0" w:after="120" w:afterLines="0" w:line="360" w:lineRule="auto"/>
      <w:jc w:val="center"/>
      <w:outlineLvl w:val="3"/>
    </w:pPr>
    <w:rPr>
      <w:rFonts w:ascii="Arial" w:hAnsi="Arial" w:eastAsia="黑体"/>
      <w:sz w:val="28"/>
    </w:rPr>
  </w:style>
  <w:style w:type="paragraph" w:styleId="7">
    <w:name w:val="heading 5"/>
    <w:basedOn w:val="1"/>
    <w:next w:val="1"/>
    <w:qFormat/>
    <w:uiPriority w:val="0"/>
    <w:pPr>
      <w:keepNext/>
      <w:keepLines/>
      <w:spacing w:before="120" w:beforeLines="0" w:after="120" w:afterLines="0" w:line="360" w:lineRule="auto"/>
      <w:ind w:firstLine="499"/>
      <w:outlineLvl w:val="4"/>
    </w:pPr>
    <w:rPr>
      <w:rFonts w:ascii="宋体" w:hAnsi="宋体"/>
      <w:b/>
      <w:sz w:val="24"/>
    </w:rPr>
  </w:style>
  <w:style w:type="paragraph" w:styleId="8">
    <w:name w:val="heading 6"/>
    <w:basedOn w:val="1"/>
    <w:next w:val="1"/>
    <w:qFormat/>
    <w:uiPriority w:val="0"/>
    <w:pPr>
      <w:keepNext/>
      <w:keepLines/>
      <w:numPr>
        <w:ilvl w:val="5"/>
        <w:numId w:val="1"/>
      </w:numPr>
      <w:spacing w:before="240" w:beforeLines="0" w:after="64" w:afterLines="0" w:line="319"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beforeLines="0" w:after="64" w:afterLines="0" w:line="319"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beforeLines="0" w:after="64" w:afterLines="0" w:line="319"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beforeLines="0" w:after="64" w:afterLines="0" w:line="319" w:lineRule="auto"/>
      <w:outlineLvl w:val="8"/>
    </w:pPr>
    <w:rPr>
      <w:rFonts w:ascii="Arial" w:hAnsi="Arial" w:eastAsia="黑体"/>
      <w:sz w:val="21"/>
      <w:szCs w:val="21"/>
    </w:rPr>
  </w:style>
  <w:style w:type="character" w:default="1" w:styleId="33">
    <w:name w:val="Default Paragraph Font"/>
    <w:link w:val="34"/>
    <w:qFormat/>
    <w:uiPriority w:val="0"/>
    <w:rPr>
      <w:rFonts w:ascii="ˎ̥" w:hAnsi="ˎ̥" w:cs="宋体"/>
      <w:color w:val="51585D"/>
      <w:sz w:val="21"/>
      <w:szCs w:val="18"/>
    </w:rPr>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line="0" w:lineRule="atLeast"/>
      <w:jc w:val="both"/>
    </w:pPr>
    <w:rPr>
      <w:kern w:val="2"/>
      <w:sz w:val="30"/>
    </w:rPr>
  </w:style>
  <w:style w:type="paragraph" w:styleId="12">
    <w:name w:val="caption"/>
    <w:basedOn w:val="1"/>
    <w:next w:val="1"/>
    <w:qFormat/>
    <w:uiPriority w:val="0"/>
    <w:rPr>
      <w:rFonts w:ascii="Arial" w:hAnsi="Arial" w:eastAsia="黑体" w:cs="Arial"/>
    </w:rPr>
  </w:style>
  <w:style w:type="paragraph" w:styleId="13">
    <w:name w:val="Body Text Indent"/>
    <w:basedOn w:val="1"/>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14">
    <w:name w:val="Block Text"/>
    <w:basedOn w:val="1"/>
    <w:qFormat/>
    <w:uiPriority w:val="0"/>
    <w:pPr>
      <w:widowControl w:val="0"/>
      <w:adjustRightInd w:val="0"/>
      <w:ind w:left="420" w:right="33"/>
      <w:textAlignment w:val="baseline"/>
    </w:pPr>
    <w:rPr>
      <w:sz w:val="24"/>
    </w:rPr>
  </w:style>
  <w:style w:type="paragraph" w:styleId="15">
    <w:name w:val="toc 3"/>
    <w:basedOn w:val="1"/>
    <w:next w:val="1"/>
    <w:qFormat/>
    <w:uiPriority w:val="39"/>
    <w:pPr>
      <w:tabs>
        <w:tab w:val="right" w:leader="dot" w:pos="9345"/>
      </w:tabs>
      <w:ind w:left="400" w:right="255"/>
      <w:jc w:val="both"/>
    </w:pPr>
    <w:rPr>
      <w:rFonts w:ascii="宋体" w:hAnsi="宋体"/>
      <w:sz w:val="24"/>
    </w:rPr>
  </w:style>
  <w:style w:type="paragraph" w:styleId="16">
    <w:name w:val="Plain Text"/>
    <w:basedOn w:val="1"/>
    <w:link w:val="65"/>
    <w:qFormat/>
    <w:uiPriority w:val="0"/>
    <w:pPr>
      <w:widowControl w:val="0"/>
      <w:jc w:val="both"/>
    </w:pPr>
    <w:rPr>
      <w:rFonts w:ascii="宋体" w:hAnsi="Courier New" w:eastAsia="宋体"/>
      <w:kern w:val="2"/>
      <w:sz w:val="21"/>
      <w:lang w:val="en-US" w:eastAsia="zh-CN" w:bidi="ar-SA"/>
    </w:rPr>
  </w:style>
  <w:style w:type="paragraph" w:styleId="17">
    <w:name w:val="Date"/>
    <w:basedOn w:val="1"/>
    <w:next w:val="1"/>
    <w:qFormat/>
    <w:uiPriority w:val="0"/>
    <w:pPr>
      <w:widowControl w:val="0"/>
      <w:jc w:val="both"/>
    </w:pPr>
    <w:rPr>
      <w:kern w:val="2"/>
      <w:sz w:val="24"/>
    </w:rPr>
  </w:style>
  <w:style w:type="paragraph" w:styleId="18">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19">
    <w:name w:val="Balloon Text"/>
    <w:basedOn w:val="1"/>
    <w:qFormat/>
    <w:uiPriority w:val="0"/>
    <w:rPr>
      <w:sz w:val="18"/>
      <w:szCs w:val="18"/>
    </w:rPr>
  </w:style>
  <w:style w:type="paragraph" w:styleId="20">
    <w:name w:val="footer"/>
    <w:basedOn w:val="1"/>
    <w:link w:val="71"/>
    <w:qFormat/>
    <w:uiPriority w:val="0"/>
    <w:pPr>
      <w:tabs>
        <w:tab w:val="center" w:pos="4153"/>
        <w:tab w:val="right" w:pos="8306"/>
      </w:tabs>
      <w:snapToGrid w:val="0"/>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3">
    <w:name w:val="footnote text"/>
    <w:basedOn w:val="1"/>
    <w:link w:val="69"/>
    <w:qFormat/>
    <w:uiPriority w:val="0"/>
    <w:pPr>
      <w:widowControl w:val="0"/>
      <w:adjustRightInd w:val="0"/>
      <w:spacing w:line="312" w:lineRule="atLeast"/>
      <w:textAlignment w:val="baseline"/>
    </w:pPr>
    <w:rPr>
      <w:sz w:val="18"/>
    </w:rPr>
  </w:style>
  <w:style w:type="paragraph" w:styleId="24">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5">
    <w:name w:val="toc 2"/>
    <w:basedOn w:val="1"/>
    <w:next w:val="1"/>
    <w:qFormat/>
    <w:uiPriority w:val="39"/>
    <w:pPr>
      <w:tabs>
        <w:tab w:val="right" w:leader="dot" w:pos="9345"/>
      </w:tabs>
      <w:spacing w:line="276" w:lineRule="auto"/>
      <w:ind w:left="200"/>
      <w:jc w:val="center"/>
    </w:pPr>
    <w:rPr>
      <w:rFonts w:ascii="宋体" w:hAnsi="宋体"/>
      <w:b/>
      <w:color w:val="000000"/>
      <w:sz w:val="24"/>
      <w:szCs w:val="24"/>
    </w:rPr>
  </w:style>
  <w:style w:type="paragraph" w:styleId="26">
    <w:name w:val="Body Text 2"/>
    <w:basedOn w:val="1"/>
    <w:link w:val="74"/>
    <w:qFormat/>
    <w:uiPriority w:val="0"/>
    <w:pPr>
      <w:widowControl w:val="0"/>
      <w:spacing w:after="120" w:line="480" w:lineRule="auto"/>
      <w:jc w:val="both"/>
    </w:pPr>
    <w:rPr>
      <w:kern w:val="2"/>
      <w:sz w:val="21"/>
      <w:szCs w:val="22"/>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28">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29">
    <w:name w:val="Title"/>
    <w:basedOn w:val="1"/>
    <w:next w:val="1"/>
    <w:link w:val="77"/>
    <w:qFormat/>
    <w:uiPriority w:val="0"/>
    <w:pPr>
      <w:spacing w:before="240" w:beforeLines="0" w:after="60" w:afterLines="0"/>
      <w:jc w:val="center"/>
      <w:outlineLvl w:val="0"/>
    </w:pPr>
    <w:rPr>
      <w:rFonts w:ascii="Cambria" w:hAnsi="Cambria" w:cs="Times New Roman"/>
      <w:b/>
      <w:bCs/>
      <w:sz w:val="32"/>
      <w:szCs w:val="32"/>
    </w:rPr>
  </w:style>
  <w:style w:type="paragraph" w:styleId="30">
    <w:name w:val="Body Text First Indent"/>
    <w:basedOn w:val="2"/>
    <w:qFormat/>
    <w:uiPriority w:val="0"/>
    <w:pPr>
      <w:ind w:firstLine="420" w:firstLineChars="1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 Char"/>
    <w:basedOn w:val="1"/>
    <w:link w:val="33"/>
    <w:qFormat/>
    <w:uiPriority w:val="0"/>
    <w:pPr>
      <w:spacing w:before="100" w:beforeLines="0" w:beforeAutospacing="1" w:after="100" w:afterLines="0" w:afterAutospacing="1" w:line="330" w:lineRule="atLeast"/>
      <w:ind w:left="360"/>
    </w:pPr>
    <w:rPr>
      <w:rFonts w:ascii="ˎ̥" w:hAnsi="ˎ̥" w:cs="宋体"/>
      <w:color w:val="51585D"/>
      <w:sz w:val="21"/>
      <w:szCs w:val="18"/>
    </w:rPr>
  </w:style>
  <w:style w:type="character" w:styleId="35">
    <w:name w:val="Strong"/>
    <w:basedOn w:val="33"/>
    <w:qFormat/>
    <w:uiPriority w:val="0"/>
    <w:rPr>
      <w:b/>
      <w:bCs/>
    </w:rPr>
  </w:style>
  <w:style w:type="character" w:styleId="36">
    <w:name w:val="page number"/>
    <w:basedOn w:val="33"/>
    <w:qFormat/>
    <w:uiPriority w:val="0"/>
  </w:style>
  <w:style w:type="character" w:styleId="37">
    <w:name w:val="FollowedHyperlink"/>
    <w:basedOn w:val="33"/>
    <w:qFormat/>
    <w:uiPriority w:val="0"/>
    <w:rPr>
      <w:color w:val="800080"/>
      <w:u w:val="single"/>
    </w:rPr>
  </w:style>
  <w:style w:type="character" w:styleId="38">
    <w:name w:val="Hyperlink"/>
    <w:basedOn w:val="33"/>
    <w:qFormat/>
    <w:uiPriority w:val="99"/>
    <w:rPr>
      <w:color w:val="0000FF"/>
      <w:u w:val="single"/>
    </w:rPr>
  </w:style>
  <w:style w:type="character" w:styleId="39">
    <w:name w:val="footnote reference"/>
    <w:basedOn w:val="33"/>
    <w:qFormat/>
    <w:uiPriority w:val="0"/>
    <w:rPr>
      <w:vertAlign w:val="superscript"/>
    </w:rPr>
  </w:style>
  <w:style w:type="character" w:styleId="40">
    <w:name w:val="HTML Sample"/>
    <w:basedOn w:val="33"/>
    <w:qFormat/>
    <w:uiPriority w:val="0"/>
    <w:rPr>
      <w:rFonts w:ascii="Courier New" w:hAnsi="Courier New" w:cs="Courier New"/>
      <w:lang w:eastAsia="en-US"/>
    </w:rPr>
  </w:style>
  <w:style w:type="paragraph" w:customStyle="1" w:styleId="41">
    <w:name w:val="Normal Indent1"/>
    <w:basedOn w:val="1"/>
    <w:qFormat/>
    <w:uiPriority w:val="0"/>
    <w:pPr>
      <w:adjustRightInd w:val="0"/>
      <w:spacing w:before="60" w:beforeLines="0" w:line="360" w:lineRule="auto"/>
      <w:ind w:firstLine="420"/>
      <w:textAlignment w:val="baseline"/>
    </w:pPr>
    <w:rPr>
      <w:kern w:val="0"/>
      <w:sz w:val="24"/>
    </w:rPr>
  </w:style>
  <w:style w:type="paragraph" w:customStyle="1" w:styleId="42">
    <w:name w:val="1"/>
    <w:basedOn w:val="1"/>
    <w:next w:val="16"/>
    <w:qFormat/>
    <w:uiPriority w:val="0"/>
    <w:pPr>
      <w:widowControl w:val="0"/>
      <w:jc w:val="both"/>
    </w:pPr>
    <w:rPr>
      <w:rFonts w:ascii="宋体" w:hAnsi="Courier New"/>
      <w:kern w:val="2"/>
      <w:sz w:val="21"/>
    </w:rPr>
  </w:style>
  <w:style w:type="paragraph" w:customStyle="1" w:styleId="43">
    <w:name w:val="TOC 标题"/>
    <w:basedOn w:val="3"/>
    <w:next w:val="1"/>
    <w:qFormat/>
    <w:uiPriority w:val="39"/>
    <w:pPr>
      <w:keepLines/>
      <w:spacing w:before="480" w:line="276" w:lineRule="auto"/>
      <w:jc w:val="left"/>
      <w:outlineLvl w:val="9"/>
    </w:pPr>
    <w:rPr>
      <w:rFonts w:ascii="Cambria" w:hAnsi="Cambria" w:eastAsia="宋体" w:cs="Times New Roman"/>
      <w:b/>
      <w:bCs/>
      <w:color w:val="365F91"/>
      <w:sz w:val="28"/>
      <w:szCs w:val="28"/>
    </w:rPr>
  </w:style>
  <w:style w:type="paragraph" w:customStyle="1" w:styleId="4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46">
    <w:name w:val="Char"/>
    <w:basedOn w:val="1"/>
    <w:qFormat/>
    <w:uiPriority w:val="0"/>
    <w:pPr>
      <w:spacing w:before="100" w:beforeLines="0" w:beforeAutospacing="1" w:after="100" w:afterLines="0" w:afterAutospacing="1" w:line="330" w:lineRule="atLeast"/>
      <w:ind w:left="360"/>
    </w:pPr>
    <w:rPr>
      <w:rFonts w:ascii="ˎ̥" w:hAnsi="ˎ̥" w:cs="宋体"/>
      <w:color w:val="51585D"/>
      <w:sz w:val="21"/>
      <w:szCs w:val="18"/>
    </w:rPr>
  </w:style>
  <w:style w:type="paragraph" w:customStyle="1" w:styleId="47">
    <w:name w:val="题注5"/>
    <w:basedOn w:val="1"/>
    <w:next w:val="12"/>
    <w:qFormat/>
    <w:uiPriority w:val="0"/>
    <w:pPr>
      <w:widowControl w:val="0"/>
      <w:spacing w:line="360" w:lineRule="auto"/>
      <w:jc w:val="center"/>
    </w:pPr>
    <w:rPr>
      <w:rFonts w:ascii="宋体" w:hAnsi="宋体"/>
      <w:color w:val="000000"/>
      <w:kern w:val="2"/>
      <w:sz w:val="21"/>
    </w:rPr>
  </w:style>
  <w:style w:type="paragraph" w:customStyle="1" w:styleId="48">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49">
    <w:name w:val="Body Text Indent"/>
    <w:basedOn w:val="1"/>
    <w:qFormat/>
    <w:uiPriority w:val="0"/>
    <w:pPr>
      <w:spacing w:line="480" w:lineRule="auto"/>
      <w:ind w:firstLine="540" w:firstLineChars="225"/>
    </w:pPr>
    <w:rPr>
      <w:rFonts w:ascii="Arial" w:hAnsi="Arial" w:eastAsia="宋体" w:cs="Times New Roman"/>
      <w:sz w:val="24"/>
      <w:szCs w:val="24"/>
    </w:rPr>
  </w:style>
  <w:style w:type="paragraph" w:customStyle="1" w:styleId="50">
    <w:name w:val="Plain Text"/>
    <w:basedOn w:val="1"/>
    <w:qFormat/>
    <w:uiPriority w:val="0"/>
    <w:pPr>
      <w:widowControl w:val="0"/>
      <w:adjustRightInd w:val="0"/>
      <w:textAlignment w:val="baseline"/>
    </w:pPr>
    <w:rPr>
      <w:rFonts w:ascii="宋体" w:hAnsi="Courier New"/>
      <w:kern w:val="2"/>
      <w:sz w:val="24"/>
    </w:rPr>
  </w:style>
  <w:style w:type="paragraph" w:customStyle="1" w:styleId="51">
    <w:name w:val="菲页(卷)"/>
    <w:basedOn w:val="3"/>
    <w:next w:val="44"/>
    <w:qFormat/>
    <w:uiPriority w:val="0"/>
    <w:pPr>
      <w:outlineLvl w:val="1"/>
    </w:p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菲页2"/>
    <w:basedOn w:val="5"/>
    <w:qFormat/>
    <w:uiPriority w:val="0"/>
    <w:rPr>
      <w:rFonts w:ascii="黑体" w:hAnsi="宋体" w:eastAsia="黑体"/>
      <w:b w:val="0"/>
      <w:sz w:val="44"/>
    </w:rPr>
  </w:style>
  <w:style w:type="paragraph" w:customStyle="1" w:styleId="54">
    <w:name w:val="目录"/>
    <w:basedOn w:val="1"/>
    <w:qFormat/>
    <w:uiPriority w:val="0"/>
    <w:pPr>
      <w:jc w:val="center"/>
    </w:pPr>
    <w:rPr>
      <w:rFonts w:ascii="宋体"/>
      <w:b/>
      <w:sz w:val="36"/>
    </w:rPr>
  </w:style>
  <w:style w:type="paragraph" w:customStyle="1" w:styleId="55">
    <w:name w:val="图"/>
    <w:basedOn w:val="1"/>
    <w:qFormat/>
    <w:uiPriority w:val="0"/>
    <w:pPr>
      <w:keepNext/>
      <w:widowControl w:val="0"/>
      <w:adjustRightInd w:val="0"/>
      <w:snapToGrid w:val="0"/>
      <w:spacing w:before="60" w:after="60" w:line="300" w:lineRule="auto"/>
      <w:jc w:val="center"/>
    </w:pPr>
    <w:rPr>
      <w:spacing w:val="20"/>
      <w:sz w:val="24"/>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Pa1"/>
    <w:basedOn w:val="52"/>
    <w:next w:val="52"/>
    <w:qFormat/>
    <w:uiPriority w:val="99"/>
    <w:pPr>
      <w:spacing w:line="241" w:lineRule="atLeast"/>
    </w:pPr>
    <w:rPr>
      <w:rFonts w:cs="Times New Roman"/>
      <w:color w:val="auto"/>
    </w:rPr>
  </w:style>
  <w:style w:type="paragraph" w:customStyle="1" w:styleId="58">
    <w:name w:val="菲页1"/>
    <w:basedOn w:val="4"/>
    <w:qFormat/>
    <w:uiPriority w:val="0"/>
    <w:rPr>
      <w:rFonts w:ascii="黑体"/>
      <w:b w:val="0"/>
    </w:rPr>
  </w:style>
  <w:style w:type="paragraph" w:customStyle="1" w:styleId="59">
    <w:name w:val=" Char Char Char Char"/>
    <w:basedOn w:val="1"/>
    <w:qFormat/>
    <w:uiPriority w:val="0"/>
    <w:pPr>
      <w:spacing w:before="100" w:beforeLines="0" w:beforeAutospacing="1" w:after="100" w:afterLines="0" w:afterAutospacing="1" w:line="330" w:lineRule="atLeast"/>
      <w:ind w:left="360"/>
    </w:pPr>
    <w:rPr>
      <w:rFonts w:ascii="ˎ̥" w:hAnsi="ˎ̥" w:cs="宋体"/>
      <w:color w:val="51585D"/>
      <w:sz w:val="21"/>
      <w:szCs w:val="18"/>
    </w:rPr>
  </w:style>
  <w:style w:type="paragraph" w:customStyle="1" w:styleId="60">
    <w:name w:val="正文 New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61">
    <w:name w:val="纯文本 New"/>
    <w:basedOn w:val="56"/>
    <w:qFormat/>
    <w:uiPriority w:val="0"/>
    <w:rPr>
      <w:rFonts w:ascii="宋体" w:hAnsi="Courier New" w:eastAsia="宋体"/>
      <w:kern w:val="2"/>
      <w:sz w:val="21"/>
      <w:szCs w:val="24"/>
      <w:lang w:val="en-US" w:eastAsia="zh-CN" w:bidi="ar-SA"/>
    </w:rPr>
  </w:style>
  <w:style w:type="paragraph" w:customStyle="1" w:styleId="62">
    <w:name w:val="目录文字"/>
    <w:basedOn w:val="1"/>
    <w:qFormat/>
    <w:uiPriority w:val="0"/>
    <w:pPr>
      <w:spacing w:line="480" w:lineRule="auto"/>
    </w:pPr>
    <w:rPr>
      <w:rFonts w:ascii="宋体" w:hAnsi="宋体"/>
      <w:sz w:val="24"/>
    </w:rPr>
  </w:style>
  <w:style w:type="paragraph" w:customStyle="1" w:styleId="63">
    <w:name w:val="普通 (Web)"/>
    <w:basedOn w:val="1"/>
    <w:qFormat/>
    <w:uiPriority w:val="0"/>
    <w:pPr>
      <w:spacing w:before="100" w:beforeLines="0" w:beforeAutospacing="1" w:after="100" w:afterLines="0" w:afterAutospacing="1"/>
    </w:pPr>
    <w:rPr>
      <w:rFonts w:ascii="宋体" w:hAnsi="宋体"/>
      <w:sz w:val="24"/>
      <w:szCs w:val="24"/>
    </w:rPr>
  </w:style>
  <w:style w:type="paragraph" w:customStyle="1" w:styleId="64">
    <w:name w:val="默认段落字体 Para Char Char Char Char Char Char Char Char"/>
    <w:basedOn w:val="1"/>
    <w:qFormat/>
    <w:uiPriority w:val="0"/>
    <w:pPr>
      <w:widowControl w:val="0"/>
      <w:jc w:val="both"/>
    </w:pPr>
    <w:rPr>
      <w:rFonts w:ascii="Tahoma" w:hAnsi="Tahoma"/>
      <w:kern w:val="2"/>
      <w:sz w:val="24"/>
    </w:rPr>
  </w:style>
  <w:style w:type="character" w:customStyle="1" w:styleId="65">
    <w:name w:val=" Char Char4"/>
    <w:basedOn w:val="33"/>
    <w:link w:val="16"/>
    <w:qFormat/>
    <w:uiPriority w:val="0"/>
    <w:rPr>
      <w:rFonts w:ascii="宋体" w:hAnsi="Courier New" w:eastAsia="宋体"/>
      <w:kern w:val="2"/>
      <w:sz w:val="21"/>
      <w:lang w:val="en-US" w:eastAsia="zh-CN" w:bidi="ar-SA"/>
    </w:rPr>
  </w:style>
  <w:style w:type="character" w:customStyle="1" w:styleId="66">
    <w:name w:val="A3"/>
    <w:qFormat/>
    <w:uiPriority w:val="99"/>
    <w:rPr>
      <w:rFonts w:cs="微软雅黑"/>
      <w:b/>
      <w:bCs/>
      <w:color w:val="00AEEF"/>
      <w:sz w:val="18"/>
      <w:szCs w:val="18"/>
    </w:rPr>
  </w:style>
  <w:style w:type="character" w:customStyle="1" w:styleId="67">
    <w:name w:val="Para head"/>
    <w:basedOn w:val="33"/>
    <w:qFormat/>
    <w:uiPriority w:val="0"/>
    <w:rPr>
      <w:rFonts w:ascii="Arial" w:hAnsi="Arial" w:eastAsia="Times New Roman"/>
      <w:sz w:val="20"/>
    </w:rPr>
  </w:style>
  <w:style w:type="character" w:customStyle="1" w:styleId="68">
    <w:name w:val=" Char Char1"/>
    <w:basedOn w:val="33"/>
    <w:link w:val="26"/>
    <w:qFormat/>
    <w:uiPriority w:val="0"/>
    <w:rPr>
      <w:kern w:val="2"/>
      <w:sz w:val="21"/>
      <w:szCs w:val="22"/>
    </w:rPr>
  </w:style>
  <w:style w:type="character" w:customStyle="1" w:styleId="69">
    <w:name w:val=" Char Char2"/>
    <w:basedOn w:val="33"/>
    <w:link w:val="23"/>
    <w:qFormat/>
    <w:uiPriority w:val="0"/>
    <w:rPr>
      <w:sz w:val="18"/>
    </w:rPr>
  </w:style>
  <w:style w:type="character" w:customStyle="1" w:styleId="70">
    <w:name w:val="普通文字 Char Char"/>
    <w:basedOn w:val="33"/>
    <w:qFormat/>
    <w:uiPriority w:val="0"/>
    <w:rPr>
      <w:rFonts w:ascii="宋体" w:hAnsi="Courier New" w:eastAsia="宋体"/>
      <w:kern w:val="2"/>
      <w:sz w:val="21"/>
      <w:lang w:val="en-US" w:eastAsia="zh-CN" w:bidi="ar-SA"/>
    </w:rPr>
  </w:style>
  <w:style w:type="character" w:customStyle="1" w:styleId="71">
    <w:name w:val=" Char Char3"/>
    <w:basedOn w:val="33"/>
    <w:link w:val="20"/>
    <w:qFormat/>
    <w:uiPriority w:val="0"/>
    <w:rPr>
      <w:sz w:val="18"/>
    </w:rPr>
  </w:style>
  <w:style w:type="character" w:customStyle="1" w:styleId="72">
    <w:name w:val=" Char Char"/>
    <w:basedOn w:val="33"/>
    <w:qFormat/>
    <w:uiPriority w:val="0"/>
    <w:rPr>
      <w:rFonts w:ascii="宋体" w:hAnsi="宋体" w:eastAsia="宋体"/>
      <w:b/>
      <w:color w:val="000000"/>
      <w:sz w:val="24"/>
      <w:szCs w:val="24"/>
      <w:lang w:val="en-US" w:eastAsia="zh-CN" w:bidi="ar-SA"/>
    </w:rPr>
  </w:style>
  <w:style w:type="character" w:customStyle="1" w:styleId="73">
    <w:name w:val="标题 3 Char"/>
    <w:basedOn w:val="33"/>
    <w:qFormat/>
    <w:uiPriority w:val="0"/>
    <w:rPr>
      <w:rFonts w:eastAsia="宋体"/>
      <w:b/>
      <w:bCs/>
      <w:kern w:val="2"/>
      <w:sz w:val="32"/>
      <w:szCs w:val="32"/>
      <w:lang w:val="en-US" w:eastAsia="zh-CN" w:bidi="ar-SA"/>
    </w:rPr>
  </w:style>
  <w:style w:type="character" w:customStyle="1" w:styleId="74">
    <w:name w:val="正文文本 2 Char1"/>
    <w:basedOn w:val="33"/>
    <w:link w:val="26"/>
    <w:qFormat/>
    <w:uiPriority w:val="0"/>
  </w:style>
  <w:style w:type="character" w:customStyle="1" w:styleId="75">
    <w:name w:val="纯文本 Char"/>
    <w:basedOn w:val="33"/>
    <w:qFormat/>
    <w:uiPriority w:val="0"/>
    <w:rPr>
      <w:rFonts w:ascii="宋体" w:hAnsi="Courier New" w:eastAsia="宋体"/>
      <w:kern w:val="2"/>
      <w:sz w:val="21"/>
      <w:lang w:val="en-US" w:eastAsia="zh-CN" w:bidi="ar-SA"/>
    </w:rPr>
  </w:style>
  <w:style w:type="character" w:customStyle="1" w:styleId="76">
    <w:name w:val="普通文字 Char Char Char1"/>
    <w:basedOn w:val="33"/>
    <w:qFormat/>
    <w:uiPriority w:val="0"/>
    <w:rPr>
      <w:rFonts w:ascii="宋体" w:hAnsi="Courier New" w:eastAsia="宋体"/>
      <w:kern w:val="2"/>
      <w:sz w:val="21"/>
      <w:lang w:val="en-US" w:eastAsia="zh-CN" w:bidi="ar-SA"/>
    </w:rPr>
  </w:style>
  <w:style w:type="character" w:customStyle="1" w:styleId="77">
    <w:name w:val=" Char Char5"/>
    <w:basedOn w:val="33"/>
    <w:link w:val="29"/>
    <w:qFormat/>
    <w:uiPriority w:val="0"/>
    <w:rPr>
      <w:rFonts w:ascii="Cambria" w:hAnsi="Cambria" w:cs="Times New Roman"/>
      <w:b/>
      <w:bCs/>
      <w:sz w:val="32"/>
      <w:szCs w:val="32"/>
    </w:rPr>
  </w:style>
  <w:style w:type="paragraph" w:customStyle="1" w:styleId="78">
    <w:name w:val="Table Paragraph"/>
    <w:basedOn w:val="1"/>
    <w:qFormat/>
    <w:uiPriority w:val="1"/>
    <w:pPr>
      <w:jc w:val="both"/>
    </w:pPr>
    <w:rPr>
      <w:rFonts w:ascii="Noto Sans Mono CJK JP Regular" w:hAnsi="Noto Sans Mono CJK JP Regular" w:eastAsia="Noto Sans Mono CJK JP Regular" w:cs="Noto Sans Mono CJK JP Regular"/>
      <w:kern w:val="2"/>
      <w:sz w:val="21"/>
    </w:rPr>
  </w:style>
  <w:style w:type="paragraph" w:customStyle="1" w:styleId="79">
    <w:name w:val="正文缩进2格"/>
    <w:basedOn w:val="1"/>
    <w:qFormat/>
    <w:uiPriority w:val="0"/>
    <w:pPr>
      <w:spacing w:line="600" w:lineRule="exact"/>
      <w:ind w:firstLine="639" w:firstLineChars="206"/>
    </w:pPr>
    <w:rPr>
      <w:rFonts w:ascii="仿宋_GB2312" w:hAnsi="宋体" w:eastAsia="仿宋_GB2312"/>
      <w:sz w:val="28"/>
    </w:rPr>
  </w:style>
  <w:style w:type="character" w:customStyle="1" w:styleId="80">
    <w:name w:val="font21"/>
    <w:basedOn w:val="33"/>
    <w:qFormat/>
    <w:uiPriority w:val="0"/>
    <w:rPr>
      <w:rFonts w:hint="default" w:ascii="Calibri" w:hAnsi="Calibri" w:cs="Calibri"/>
      <w:color w:val="000000"/>
      <w:sz w:val="20"/>
      <w:szCs w:val="20"/>
      <w:u w:val="none"/>
    </w:rPr>
  </w:style>
  <w:style w:type="character" w:customStyle="1" w:styleId="81">
    <w:name w:val="font51"/>
    <w:basedOn w:val="33"/>
    <w:qFormat/>
    <w:uiPriority w:val="0"/>
    <w:rPr>
      <w:rFonts w:hint="eastAsia" w:ascii="宋体" w:hAnsi="宋体" w:eastAsia="宋体" w:cs="宋体"/>
      <w:color w:val="000000"/>
      <w:sz w:val="20"/>
      <w:szCs w:val="20"/>
      <w:u w:val="none"/>
    </w:rPr>
  </w:style>
  <w:style w:type="character" w:customStyle="1" w:styleId="82">
    <w:name w:val="font112"/>
    <w:basedOn w:val="33"/>
    <w:qFormat/>
    <w:uiPriority w:val="0"/>
    <w:rPr>
      <w:rFonts w:hint="default" w:ascii="Times New Roman" w:hAnsi="Times New Roman" w:cs="Times New Roman"/>
      <w:color w:val="000000"/>
      <w:sz w:val="20"/>
      <w:szCs w:val="20"/>
      <w:u w:val="none"/>
    </w:rPr>
  </w:style>
  <w:style w:type="character" w:customStyle="1" w:styleId="83">
    <w:name w:val="font41"/>
    <w:basedOn w:val="33"/>
    <w:qFormat/>
    <w:uiPriority w:val="0"/>
    <w:rPr>
      <w:rFonts w:hint="eastAsia" w:ascii="宋体" w:hAnsi="宋体" w:eastAsia="宋体" w:cs="宋体"/>
      <w:color w:val="000000"/>
      <w:sz w:val="20"/>
      <w:szCs w:val="20"/>
      <w:u w:val="none"/>
    </w:rPr>
  </w:style>
  <w:style w:type="paragraph" w:customStyle="1" w:styleId="84">
    <w:name w:val="D标3"/>
    <w:basedOn w:val="5"/>
    <w:qFormat/>
    <w:uiPriority w:val="0"/>
    <w:pPr>
      <w:keepNext w:val="0"/>
      <w:keepLines w:val="0"/>
      <w:snapToGrid w:val="0"/>
      <w:spacing w:before="0" w:after="0" w:line="440" w:lineRule="exact"/>
      <w:outlineLvl w:val="9"/>
    </w:pPr>
    <w:rPr>
      <w:rFonts w:ascii="宋体" w:hAnsi="宋体" w:cs="Arial"/>
      <w:b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tcserver</Company>
  <Pages>1</Pages>
  <Words>3578</Words>
  <Characters>20396</Characters>
  <Lines>169</Lines>
  <Paragraphs>47</Paragraphs>
  <TotalTime>13</TotalTime>
  <ScaleCrop>false</ScaleCrop>
  <LinksUpToDate>false</LinksUpToDate>
  <CharactersWithSpaces>23927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2012-10-30T08:04:00Z</dcterms:created>
  <dc:creator>tc1</dc:creator>
  <cp:lastModifiedBy>.+经不住逝水流年</cp:lastModifiedBy>
  <cp:lastPrinted>2019-11-07T07:26:00Z</cp:lastPrinted>
  <dcterms:modified xsi:type="dcterms:W3CDTF">2021-10-27T06:58:20Z</dcterms:modified>
  <dc:title>220kV线路基础护坡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5E2DD5347D6A48D8BA1428E521AC4042</vt:lpwstr>
  </property>
</Properties>
</file>